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D3596" w14:textId="0F780FE6" w:rsidR="00D81EED" w:rsidRPr="00D81EED" w:rsidRDefault="00D81EED" w:rsidP="004723F7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D81EED">
        <w:rPr>
          <w:rFonts w:ascii="Calibri" w:hAnsi="Calibri" w:cs="Calibri"/>
          <w:b/>
          <w:bCs/>
          <w:sz w:val="28"/>
          <w:szCs w:val="28"/>
          <w:u w:val="single"/>
        </w:rPr>
        <w:t xml:space="preserve">[MAC] –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Configuración y cambio</w:t>
      </w:r>
      <w:r w:rsidRPr="00D81EED">
        <w:rPr>
          <w:rFonts w:ascii="Calibri" w:hAnsi="Calibri" w:cs="Calibri"/>
          <w:b/>
          <w:bCs/>
          <w:sz w:val="28"/>
          <w:szCs w:val="28"/>
          <w:u w:val="single"/>
        </w:rPr>
        <w:t xml:space="preserve"> de CERT a PRECERT</w:t>
      </w:r>
    </w:p>
    <w:p w14:paraId="4B51A600" w14:textId="77777777" w:rsidR="00D81EED" w:rsidRDefault="00D81EED" w:rsidP="00D81EED">
      <w:pPr>
        <w:spacing w:line="360" w:lineRule="auto"/>
        <w:jc w:val="both"/>
        <w:rPr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52775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A255F" w14:textId="77777777" w:rsidR="00D81EED" w:rsidRPr="00B238D0" w:rsidRDefault="00D81EED" w:rsidP="00D81EED">
          <w:pPr>
            <w:pStyle w:val="TtuloTDC"/>
            <w:spacing w:line="360" w:lineRule="auto"/>
            <w:jc w:val="both"/>
          </w:pPr>
          <w:r>
            <w:t>Índice</w:t>
          </w:r>
        </w:p>
        <w:p w14:paraId="4ED4FEA5" w14:textId="4E13947C" w:rsidR="004723F7" w:rsidRDefault="00D81EE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43768" w:history="1">
            <w:r w:rsidR="004723F7" w:rsidRPr="00CE1ADF">
              <w:rPr>
                <w:rStyle w:val="Hipervnculo"/>
                <w:noProof/>
              </w:rPr>
              <w:t>1.</w:t>
            </w:r>
            <w:r w:rsidR="004723F7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4723F7" w:rsidRPr="00CE1ADF">
              <w:rPr>
                <w:rStyle w:val="Hipervnculo"/>
                <w:noProof/>
              </w:rPr>
              <w:t>Configuración repositorio</w:t>
            </w:r>
            <w:r w:rsidR="004723F7">
              <w:rPr>
                <w:noProof/>
                <w:webHidden/>
              </w:rPr>
              <w:tab/>
            </w:r>
            <w:r w:rsidR="004723F7">
              <w:rPr>
                <w:noProof/>
                <w:webHidden/>
              </w:rPr>
              <w:fldChar w:fldCharType="begin"/>
            </w:r>
            <w:r w:rsidR="004723F7">
              <w:rPr>
                <w:noProof/>
                <w:webHidden/>
              </w:rPr>
              <w:instrText xml:space="preserve"> PAGEREF _Toc185243768 \h </w:instrText>
            </w:r>
            <w:r w:rsidR="004723F7">
              <w:rPr>
                <w:noProof/>
                <w:webHidden/>
              </w:rPr>
            </w:r>
            <w:r w:rsidR="004723F7">
              <w:rPr>
                <w:noProof/>
                <w:webHidden/>
              </w:rPr>
              <w:fldChar w:fldCharType="separate"/>
            </w:r>
            <w:r w:rsidR="004723F7">
              <w:rPr>
                <w:noProof/>
                <w:webHidden/>
              </w:rPr>
              <w:t>2</w:t>
            </w:r>
            <w:r w:rsidR="004723F7">
              <w:rPr>
                <w:noProof/>
                <w:webHidden/>
              </w:rPr>
              <w:fldChar w:fldCharType="end"/>
            </w:r>
          </w:hyperlink>
        </w:p>
        <w:p w14:paraId="5C39CDB7" w14:textId="27233908" w:rsidR="004723F7" w:rsidRDefault="004723F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243769" w:history="1">
            <w:r w:rsidRPr="00CE1AD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CE1ADF">
              <w:rPr>
                <w:rStyle w:val="Hipervnculo"/>
                <w:noProof/>
              </w:rPr>
              <w:t>environment_precert.properties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D427" w14:textId="725604FC" w:rsidR="004723F7" w:rsidRDefault="004723F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243770" w:history="1">
            <w:r w:rsidRPr="00CE1AD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CE1ADF">
              <w:rPr>
                <w:rStyle w:val="Hipervnculo"/>
                <w:noProof/>
              </w:rPr>
              <w:t>inventory.yml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9A81" w14:textId="7F02F419" w:rsidR="004723F7" w:rsidRDefault="004723F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243771" w:history="1">
            <w:r w:rsidRPr="00CE1AD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CE1ADF">
              <w:rPr>
                <w:rStyle w:val="Hipervnculo"/>
                <w:noProof/>
              </w:rPr>
              <w:t>Configuración dentro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4BDD" w14:textId="561B51B7" w:rsidR="004723F7" w:rsidRDefault="004723F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243772" w:history="1">
            <w:r w:rsidRPr="00CE1AD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CE1ADF">
              <w:rPr>
                <w:rStyle w:val="Hipervnculo"/>
                <w:noProof/>
              </w:rPr>
              <w:t>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20A5" w14:textId="112907A8" w:rsidR="004723F7" w:rsidRDefault="004723F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243773" w:history="1">
            <w:r w:rsidRPr="00CE1ADF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CE1ADF">
              <w:rPr>
                <w:rStyle w:val="Hipervnculo"/>
                <w:noProof/>
              </w:rPr>
              <w:t>Jenkinsfile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A349" w14:textId="007C3F19" w:rsidR="00D81EED" w:rsidRDefault="00D81EED" w:rsidP="00D81EED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805688" w14:textId="715081B3" w:rsidR="00D81EED" w:rsidRDefault="00D81EED" w:rsidP="00D81EED">
      <w:r>
        <w:br w:type="page"/>
      </w:r>
    </w:p>
    <w:p w14:paraId="381D8288" w14:textId="7D391664" w:rsidR="00D81EED" w:rsidRDefault="00D81EED" w:rsidP="00D81EED">
      <w:pPr>
        <w:pStyle w:val="Ttulo1"/>
        <w:numPr>
          <w:ilvl w:val="0"/>
          <w:numId w:val="1"/>
        </w:numPr>
        <w:spacing w:line="360" w:lineRule="auto"/>
        <w:jc w:val="both"/>
      </w:pPr>
      <w:bookmarkStart w:id="0" w:name="_Toc185243768"/>
      <w:r>
        <w:lastRenderedPageBreak/>
        <w:t>Configuración repositorio</w:t>
      </w:r>
      <w:bookmarkEnd w:id="0"/>
    </w:p>
    <w:p w14:paraId="3B41074F" w14:textId="52BFD4A6" w:rsidR="00D81EED" w:rsidRPr="00D81EED" w:rsidRDefault="00D81EED" w:rsidP="00D81EED">
      <w:pPr>
        <w:spacing w:line="360" w:lineRule="auto"/>
        <w:jc w:val="both"/>
        <w:rPr>
          <w:b/>
          <w:bCs/>
        </w:rPr>
      </w:pPr>
      <w:r>
        <w:t xml:space="preserve">Para la correcta adaptación al proyecto de los despliegues de CERT a PRECERT, se deben realizar modificaciones sobre ciertos ficheros de configuración que podemos encontrar en el repositorio de configuración del </w:t>
      </w:r>
      <w:proofErr w:type="spellStart"/>
      <w:r>
        <w:t>git</w:t>
      </w:r>
      <w:proofErr w:type="spellEnd"/>
      <w:r>
        <w:t xml:space="preserve"> del proyecto </w:t>
      </w:r>
      <w:proofErr w:type="spellStart"/>
      <w:r>
        <w:t>mac</w:t>
      </w:r>
      <w:proofErr w:type="spellEnd"/>
      <w:r>
        <w:t xml:space="preserve">: </w:t>
      </w:r>
      <w:hyperlink r:id="rId9" w:history="1">
        <w:proofErr w:type="spellStart"/>
        <w:r w:rsidRPr="00D81EED">
          <w:rPr>
            <w:rStyle w:val="Hipervnculo"/>
            <w:b/>
            <w:bCs/>
          </w:rPr>
          <w:t>mac-configuration-isban</w:t>
        </w:r>
        <w:proofErr w:type="spellEnd"/>
      </w:hyperlink>
      <w:r>
        <w:rPr>
          <w:b/>
          <w:bCs/>
        </w:rPr>
        <w:t>.</w:t>
      </w:r>
    </w:p>
    <w:p w14:paraId="7B00B987" w14:textId="2907959F" w:rsidR="00D81EED" w:rsidRDefault="00D81EED" w:rsidP="00D81EED">
      <w:pPr>
        <w:pStyle w:val="Ttulo2"/>
        <w:numPr>
          <w:ilvl w:val="1"/>
          <w:numId w:val="1"/>
        </w:numPr>
        <w:spacing w:line="360" w:lineRule="auto"/>
        <w:jc w:val="both"/>
      </w:pPr>
      <w:bookmarkStart w:id="1" w:name="_Toc185243769"/>
      <w:proofErr w:type="spellStart"/>
      <w:r>
        <w:t>environment_</w:t>
      </w:r>
      <w:proofErr w:type="gramStart"/>
      <w:r>
        <w:t>precert.properties</w:t>
      </w:r>
      <w:bookmarkEnd w:id="1"/>
      <w:proofErr w:type="spellEnd"/>
      <w:proofErr w:type="gramEnd"/>
    </w:p>
    <w:p w14:paraId="48200786" w14:textId="75B97833" w:rsidR="00E11B6E" w:rsidRDefault="00E11B6E" w:rsidP="00947C06">
      <w:pPr>
        <w:jc w:val="both"/>
      </w:pPr>
      <w:r>
        <w:t xml:space="preserve">Para no eliminar el fichero original de </w:t>
      </w:r>
      <w:proofErr w:type="spellStart"/>
      <w:r>
        <w:t>cert</w:t>
      </w:r>
      <w:proofErr w:type="spellEnd"/>
      <w:r>
        <w:t xml:space="preserve">, se crea un nuevo fichero </w:t>
      </w:r>
      <w:r w:rsidR="00266748">
        <w:t xml:space="preserve">llamado </w:t>
      </w:r>
      <w:proofErr w:type="spellStart"/>
      <w:r w:rsidR="00266748">
        <w:t>environment_</w:t>
      </w:r>
      <w:proofErr w:type="gramStart"/>
      <w:r w:rsidR="00266748">
        <w:t>precert.properties</w:t>
      </w:r>
      <w:proofErr w:type="spellEnd"/>
      <w:proofErr w:type="gramEnd"/>
      <w:r w:rsidR="007D6936">
        <w:t xml:space="preserve">. </w:t>
      </w:r>
    </w:p>
    <w:p w14:paraId="07C8A53B" w14:textId="77777777" w:rsidR="00160CEA" w:rsidRDefault="00160CEA" w:rsidP="00947C06">
      <w:pPr>
        <w:jc w:val="both"/>
      </w:pPr>
    </w:p>
    <w:p w14:paraId="7D525164" w14:textId="5F1F755A" w:rsidR="00160CEA" w:rsidRDefault="00160CEA" w:rsidP="00947C06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varias comparaciones del antiguo fichero de CERT y el nuevo fichero de PRECERT remarcando en amarillo las modificaciones realizadas. </w:t>
      </w:r>
    </w:p>
    <w:p w14:paraId="02332598" w14:textId="77777777" w:rsidR="008C3A90" w:rsidRDefault="008C3A90" w:rsidP="00947C06">
      <w:pPr>
        <w:jc w:val="both"/>
      </w:pPr>
    </w:p>
    <w:p w14:paraId="2B7D7D8B" w14:textId="7E9B90D6" w:rsidR="008C3A90" w:rsidRDefault="008C3A90" w:rsidP="00947C06">
      <w:pPr>
        <w:pStyle w:val="Prrafodelista"/>
        <w:numPr>
          <w:ilvl w:val="0"/>
          <w:numId w:val="2"/>
        </w:numPr>
        <w:jc w:val="both"/>
      </w:pPr>
      <w:r>
        <w:t xml:space="preserve">Cambios de las variables de entorno </w:t>
      </w:r>
      <w:r w:rsidR="000D1890">
        <w:t>para apuntar a las nuevas rutas en PRE, dentro de la carpeta /</w:t>
      </w:r>
      <w:proofErr w:type="spellStart"/>
      <w:r w:rsidR="000D1890">
        <w:t>initiatives_share</w:t>
      </w:r>
      <w:proofErr w:type="spellEnd"/>
      <w:r w:rsidR="000D1890">
        <w:t>/</w:t>
      </w:r>
      <w:proofErr w:type="spellStart"/>
      <w:r w:rsidR="000D1890">
        <w:t>mac</w:t>
      </w:r>
      <w:proofErr w:type="spellEnd"/>
      <w:r w:rsidR="000D1890">
        <w:t>/</w:t>
      </w:r>
      <w:proofErr w:type="spellStart"/>
      <w:r w:rsidR="000D1890">
        <w:t>cert</w:t>
      </w:r>
      <w:proofErr w:type="spellEnd"/>
      <w:r w:rsidR="000D1890">
        <w:t xml:space="preserve"> y al usuario </w:t>
      </w:r>
      <w:proofErr w:type="spellStart"/>
      <w:r w:rsidR="000D1890">
        <w:t>ui_mac</w:t>
      </w:r>
      <w:proofErr w:type="spellEnd"/>
      <w:r w:rsidR="000D1890">
        <w:t>:</w:t>
      </w:r>
    </w:p>
    <w:p w14:paraId="51EB9534" w14:textId="77777777" w:rsidR="000D1890" w:rsidRDefault="000D1890" w:rsidP="000D1890">
      <w:pPr>
        <w:pStyle w:val="Prrafodelista"/>
      </w:pPr>
    </w:p>
    <w:p w14:paraId="133A11C6" w14:textId="38747387" w:rsidR="00160CEA" w:rsidRDefault="00160CEA" w:rsidP="00E11B6E">
      <w:r>
        <w:rPr>
          <w:noProof/>
        </w:rPr>
        <w:drawing>
          <wp:inline distT="0" distB="0" distL="0" distR="0" wp14:anchorId="6680C7F3" wp14:editId="4DC3C2D0">
            <wp:extent cx="5722613" cy="2432649"/>
            <wp:effectExtent l="0" t="0" r="0" b="6350"/>
            <wp:docPr id="18628457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4575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048" cy="24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FDE" w14:textId="77777777" w:rsidR="000D1890" w:rsidRDefault="000D1890" w:rsidP="00947C06">
      <w:pPr>
        <w:jc w:val="both"/>
      </w:pPr>
    </w:p>
    <w:p w14:paraId="6FBCC995" w14:textId="1CAB6C8B" w:rsidR="000D1890" w:rsidRPr="00E11B6E" w:rsidRDefault="000D1890" w:rsidP="00947C06">
      <w:pPr>
        <w:jc w:val="both"/>
      </w:pPr>
      <w:r>
        <w:t xml:space="preserve">Cambios de las conexiones de </w:t>
      </w:r>
      <w:proofErr w:type="spellStart"/>
      <w:r>
        <w:t>Hive</w:t>
      </w:r>
      <w:proofErr w:type="spellEnd"/>
      <w:r>
        <w:t xml:space="preserve"> e Impala para conectarnos a las del </w:t>
      </w:r>
      <w:proofErr w:type="spellStart"/>
      <w:r>
        <w:t>Hue</w:t>
      </w:r>
      <w:proofErr w:type="spellEnd"/>
      <w:r>
        <w:t xml:space="preserve"> de PRE</w:t>
      </w:r>
      <w:r w:rsidR="008A7105">
        <w:t xml:space="preserve">. También se cambian las conexiones de </w:t>
      </w:r>
      <w:proofErr w:type="spellStart"/>
      <w:r w:rsidR="008A7105">
        <w:t>kerberos</w:t>
      </w:r>
      <w:proofErr w:type="spellEnd"/>
      <w:r w:rsidR="008A7105">
        <w:t xml:space="preserve"> para compaginarlas con las de PRE</w:t>
      </w:r>
      <w:r>
        <w:t>:</w:t>
      </w:r>
    </w:p>
    <w:p w14:paraId="2E992160" w14:textId="180136DA" w:rsidR="001B06C1" w:rsidRDefault="00336071" w:rsidP="001B06C1">
      <w:r>
        <w:rPr>
          <w:noProof/>
        </w:rPr>
        <w:drawing>
          <wp:inline distT="0" distB="0" distL="0" distR="0" wp14:anchorId="01A2127B" wp14:editId="012A5180">
            <wp:extent cx="5400040" cy="998855"/>
            <wp:effectExtent l="0" t="0" r="0" b="0"/>
            <wp:docPr id="17120552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55254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A8BF" w14:textId="77777777" w:rsidR="008A7105" w:rsidRDefault="008A7105" w:rsidP="001B06C1"/>
    <w:p w14:paraId="6966CAEC" w14:textId="77777777" w:rsidR="008A7105" w:rsidRDefault="008A7105" w:rsidP="001B06C1"/>
    <w:p w14:paraId="024AC42D" w14:textId="77777777" w:rsidR="008A7105" w:rsidRDefault="008A7105" w:rsidP="001B06C1"/>
    <w:p w14:paraId="762D4DF7" w14:textId="7D11544F" w:rsidR="008C3A90" w:rsidRDefault="008C3A90" w:rsidP="001B06C1">
      <w:r>
        <w:rPr>
          <w:noProof/>
        </w:rPr>
        <w:drawing>
          <wp:inline distT="0" distB="0" distL="0" distR="0" wp14:anchorId="1CDC4F37" wp14:editId="0F317741">
            <wp:extent cx="5400040" cy="1169035"/>
            <wp:effectExtent l="0" t="0" r="0" b="0"/>
            <wp:docPr id="10893543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431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BCE" w14:textId="77777777" w:rsidR="008D4BFC" w:rsidRDefault="008D4BFC" w:rsidP="001B06C1"/>
    <w:p w14:paraId="6D17A5A1" w14:textId="6538710B" w:rsidR="008A7105" w:rsidRDefault="008D4BFC" w:rsidP="00947C06">
      <w:pPr>
        <w:jc w:val="both"/>
      </w:pPr>
      <w:r>
        <w:t>Cambios en la configuración de las rutas de HDFS</w:t>
      </w:r>
      <w:r w:rsidR="007B7E06">
        <w:t xml:space="preserve"> y del nodo</w:t>
      </w:r>
      <w:r>
        <w:t>:</w:t>
      </w:r>
    </w:p>
    <w:p w14:paraId="2FEB3A76" w14:textId="360F997B" w:rsidR="008A7105" w:rsidRDefault="008D4BFC" w:rsidP="001B06C1">
      <w:r>
        <w:rPr>
          <w:noProof/>
        </w:rPr>
        <w:drawing>
          <wp:inline distT="0" distB="0" distL="0" distR="0" wp14:anchorId="0F7FC540" wp14:editId="62368F4A">
            <wp:extent cx="5400040" cy="759460"/>
            <wp:effectExtent l="0" t="0" r="0" b="2540"/>
            <wp:docPr id="29227396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7396" name="Imagen 1" descr="Patrón de fond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836F" w14:textId="0C089FB1" w:rsidR="002E2AA1" w:rsidRDefault="002E2AA1" w:rsidP="001B06C1">
      <w:r>
        <w:rPr>
          <w:noProof/>
        </w:rPr>
        <w:drawing>
          <wp:inline distT="0" distB="0" distL="0" distR="0" wp14:anchorId="41E2F848" wp14:editId="0BFD2A0C">
            <wp:extent cx="5400040" cy="1150620"/>
            <wp:effectExtent l="0" t="0" r="0" b="0"/>
            <wp:docPr id="134443325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3250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3896" w14:textId="04378FC5" w:rsidR="001B06C1" w:rsidRDefault="001B06C1" w:rsidP="001B06C1">
      <w:pPr>
        <w:pStyle w:val="Ttulo2"/>
        <w:numPr>
          <w:ilvl w:val="1"/>
          <w:numId w:val="1"/>
        </w:numPr>
      </w:pPr>
      <w:bookmarkStart w:id="2" w:name="_Toc185243770"/>
      <w:proofErr w:type="spellStart"/>
      <w:r>
        <w:t>inventory.yml</w:t>
      </w:r>
      <w:bookmarkEnd w:id="2"/>
      <w:proofErr w:type="spellEnd"/>
    </w:p>
    <w:p w14:paraId="5CE2C41C" w14:textId="1F102F8D" w:rsidR="001B06C1" w:rsidRDefault="001B06C1" w:rsidP="001B06C1"/>
    <w:p w14:paraId="4DD62A00" w14:textId="672A6A2C" w:rsidR="003E7678" w:rsidRDefault="003E7678" w:rsidP="00947C06">
      <w:pPr>
        <w:jc w:val="both"/>
      </w:pPr>
      <w:r>
        <w:t xml:space="preserve">Se crea una nueva configuración en el </w:t>
      </w:r>
      <w:proofErr w:type="spellStart"/>
      <w:r>
        <w:t>inventory.yml</w:t>
      </w:r>
      <w:proofErr w:type="spellEnd"/>
      <w:r>
        <w:t xml:space="preserve"> llamada “</w:t>
      </w:r>
      <w:proofErr w:type="spellStart"/>
      <w:r>
        <w:t>precert</w:t>
      </w:r>
      <w:proofErr w:type="spellEnd"/>
      <w:r>
        <w:t>” con la información de</w:t>
      </w:r>
      <w:r w:rsidR="00925921">
        <w:t xml:space="preserve"> la máquina de </w:t>
      </w:r>
      <w:proofErr w:type="gramStart"/>
      <w:r w:rsidR="00925921">
        <w:t>PRE</w:t>
      </w:r>
      <w:proofErr w:type="gramEnd"/>
      <w:r w:rsidR="00925921">
        <w:t xml:space="preserve"> pero las rutas de este nuevo “Pre-</w:t>
      </w:r>
      <w:proofErr w:type="spellStart"/>
      <w:r w:rsidR="00925921">
        <w:t>Cert</w:t>
      </w:r>
      <w:proofErr w:type="spellEnd"/>
      <w:r w:rsidR="00925921">
        <w:t>”:</w:t>
      </w:r>
    </w:p>
    <w:p w14:paraId="3C1E657A" w14:textId="77777777" w:rsidR="00925921" w:rsidRDefault="00925921" w:rsidP="001B06C1"/>
    <w:p w14:paraId="14CE12B5" w14:textId="5F863290" w:rsidR="00925921" w:rsidRDefault="00925921" w:rsidP="001B06C1">
      <w:r>
        <w:rPr>
          <w:noProof/>
        </w:rPr>
        <w:drawing>
          <wp:inline distT="0" distB="0" distL="0" distR="0" wp14:anchorId="3A4E9DB2" wp14:editId="2F905B6D">
            <wp:extent cx="5400040" cy="1713230"/>
            <wp:effectExtent l="0" t="0" r="0" b="1270"/>
            <wp:docPr id="64402321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23213" name="Imagen 1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E335" w14:textId="77777777" w:rsidR="00925921" w:rsidRDefault="00925921" w:rsidP="001B06C1"/>
    <w:p w14:paraId="291871B8" w14:textId="5B8B0C7F" w:rsidR="00925921" w:rsidRDefault="00925921" w:rsidP="00947C06">
      <w:pPr>
        <w:jc w:val="both"/>
      </w:pPr>
      <w:r>
        <w:t xml:space="preserve">La ruta del </w:t>
      </w:r>
      <w:proofErr w:type="spellStart"/>
      <w:r>
        <w:t>configuration</w:t>
      </w:r>
      <w:proofErr w:type="spellEnd"/>
      <w:r>
        <w:t>/</w:t>
      </w:r>
      <w:proofErr w:type="spellStart"/>
      <w:r>
        <w:t>core</w:t>
      </w:r>
      <w:proofErr w:type="spellEnd"/>
      <w:r>
        <w:t xml:space="preserve"> es la misma que la de PRE porque es común a todos los proyectos, pero sí que se ha cambiado la ruta de “/</w:t>
      </w:r>
      <w:proofErr w:type="spellStart"/>
      <w:r>
        <w:t>cer</w:t>
      </w:r>
      <w:proofErr w:type="spellEnd"/>
      <w:r>
        <w:t>/</w:t>
      </w:r>
      <w:proofErr w:type="spellStart"/>
      <w:r>
        <w:t>configuration</w:t>
      </w:r>
      <w:proofErr w:type="spellEnd"/>
      <w:r>
        <w:t>/</w:t>
      </w:r>
      <w:proofErr w:type="spellStart"/>
      <w:r>
        <w:t>mac</w:t>
      </w:r>
      <w:proofErr w:type="spellEnd"/>
      <w:proofErr w:type="gramStart"/>
      <w:r w:rsidR="00197FA4">
        <w:t>”</w:t>
      </w:r>
      <w:r>
        <w:t xml:space="preserve">, </w:t>
      </w:r>
      <w:r w:rsidR="00197FA4">
        <w:t xml:space="preserve"> qué</w:t>
      </w:r>
      <w:proofErr w:type="gramEnd"/>
      <w:r w:rsidR="00197FA4">
        <w:t xml:space="preserve">, </w:t>
      </w:r>
      <w:r>
        <w:t>como podéis ver</w:t>
      </w:r>
      <w:r w:rsidR="00197FA4">
        <w:t>,</w:t>
      </w:r>
      <w:r>
        <w:t xml:space="preserve"> la ruta es de </w:t>
      </w:r>
      <w:proofErr w:type="spellStart"/>
      <w:r>
        <w:t>hdfs</w:t>
      </w:r>
      <w:proofErr w:type="spellEnd"/>
      <w:r>
        <w:t xml:space="preserve"> de PRE pero apuntando a una ruta CER que pedimos que nos crearan por </w:t>
      </w:r>
      <w:proofErr w:type="spellStart"/>
      <w:r>
        <w:t>GoPortal</w:t>
      </w:r>
      <w:proofErr w:type="spellEnd"/>
      <w:r>
        <w:t xml:space="preserve">. Esta es exclusiva de nuestro proyecto. </w:t>
      </w:r>
    </w:p>
    <w:p w14:paraId="610D384F" w14:textId="65F03938" w:rsidR="001B06C1" w:rsidRDefault="004F02CF" w:rsidP="004F02CF">
      <w:pPr>
        <w:pStyle w:val="Ttulo1"/>
        <w:numPr>
          <w:ilvl w:val="0"/>
          <w:numId w:val="1"/>
        </w:numPr>
      </w:pPr>
      <w:bookmarkStart w:id="3" w:name="_Toc185243771"/>
      <w:r>
        <w:lastRenderedPageBreak/>
        <w:t>Configuración dentro del código</w:t>
      </w:r>
      <w:bookmarkEnd w:id="3"/>
    </w:p>
    <w:p w14:paraId="71DD3CE2" w14:textId="77777777" w:rsidR="0095305D" w:rsidRDefault="0095305D" w:rsidP="0095305D"/>
    <w:p w14:paraId="6DC31EB9" w14:textId="30ACF257" w:rsidR="0095305D" w:rsidRPr="0095305D" w:rsidRDefault="0095305D" w:rsidP="0095305D">
      <w:r>
        <w:t>A parte de los cambios del repositorio de configuración, hay que adaptar las lecturas de estas configuraciones desde el proyecto al reposit</w:t>
      </w:r>
      <w:r w:rsidR="00BC0D22">
        <w:t xml:space="preserve">orio, para eso hay que tener en cuenta la modificación de dos de los ficheros del código: </w:t>
      </w:r>
      <w:proofErr w:type="spellStart"/>
      <w:r w:rsidR="00BC0D22">
        <w:t>apllication.yml</w:t>
      </w:r>
      <w:proofErr w:type="spellEnd"/>
      <w:r w:rsidR="00BC0D22">
        <w:t xml:space="preserve"> y </w:t>
      </w:r>
      <w:proofErr w:type="spellStart"/>
      <w:r w:rsidR="00BC0D22">
        <w:t>Jenkinsfile</w:t>
      </w:r>
      <w:proofErr w:type="spellEnd"/>
      <w:r w:rsidR="00BC0D22">
        <w:t xml:space="preserve">. </w:t>
      </w:r>
    </w:p>
    <w:p w14:paraId="08BBC9AF" w14:textId="77777777" w:rsidR="004F02CF" w:rsidRDefault="004F02CF" w:rsidP="004F02CF"/>
    <w:p w14:paraId="14937ED0" w14:textId="1BD6C6DD" w:rsidR="0095305D" w:rsidRDefault="004F02CF" w:rsidP="0095305D">
      <w:pPr>
        <w:pStyle w:val="Ttulo2"/>
        <w:numPr>
          <w:ilvl w:val="1"/>
          <w:numId w:val="1"/>
        </w:numPr>
        <w:spacing w:line="360" w:lineRule="auto"/>
        <w:jc w:val="both"/>
      </w:pPr>
      <w:bookmarkStart w:id="4" w:name="_Toc185243772"/>
      <w:proofErr w:type="spellStart"/>
      <w:r>
        <w:t>application.yml</w:t>
      </w:r>
      <w:bookmarkEnd w:id="4"/>
      <w:proofErr w:type="spellEnd"/>
    </w:p>
    <w:p w14:paraId="6BB41B4B" w14:textId="521ED218" w:rsidR="005261D5" w:rsidRPr="005261D5" w:rsidRDefault="005261D5" w:rsidP="005261D5">
      <w:r>
        <w:t xml:space="preserve">Para no </w:t>
      </w:r>
      <w:r w:rsidR="00903C05">
        <w:t>borrar la antigua conexión a CERT, se ha creado una nueva conexión “</w:t>
      </w:r>
      <w:proofErr w:type="spellStart"/>
      <w:r w:rsidR="00903C05">
        <w:t>edgeNodePRECERT</w:t>
      </w:r>
      <w:proofErr w:type="spellEnd"/>
      <w:r w:rsidR="00903C05">
        <w:t>” a la que se le han aplicado los siguientes cambios:</w:t>
      </w:r>
    </w:p>
    <w:p w14:paraId="3B9DAEC6" w14:textId="02100C20" w:rsidR="00BC0D22" w:rsidRDefault="005261D5" w:rsidP="00BC0D22">
      <w:r>
        <w:rPr>
          <w:noProof/>
        </w:rPr>
        <w:drawing>
          <wp:inline distT="0" distB="0" distL="0" distR="0" wp14:anchorId="3CADCC1E" wp14:editId="2043E3BE">
            <wp:extent cx="5400040" cy="1931035"/>
            <wp:effectExtent l="0" t="0" r="0" b="0"/>
            <wp:docPr id="1611640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4032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31B7" w14:textId="1765057C" w:rsidR="00F3714C" w:rsidRPr="00BC0D22" w:rsidRDefault="00C101B4" w:rsidP="00BC0D22">
      <w:r>
        <w:t xml:space="preserve">La credencial del </w:t>
      </w:r>
      <w:proofErr w:type="spellStart"/>
      <w:r>
        <w:t>git</w:t>
      </w:r>
      <w:proofErr w:type="spellEnd"/>
      <w:r>
        <w:t xml:space="preserve"> cambia a </w:t>
      </w:r>
      <w:proofErr w:type="spellStart"/>
      <w:r>
        <w:t>ui_mac_git</w:t>
      </w:r>
      <w:proofErr w:type="spellEnd"/>
      <w:r>
        <w:t>, que es una credencial del Jenkins que está generada con el usuario de Raul del Valle</w:t>
      </w:r>
      <w:r w:rsidR="009A0C01">
        <w:t xml:space="preserve">. El resto de </w:t>
      </w:r>
      <w:proofErr w:type="gramStart"/>
      <w:r w:rsidR="009A0C01">
        <w:t>cosas</w:t>
      </w:r>
      <w:proofErr w:type="gramEnd"/>
      <w:r w:rsidR="009A0C01">
        <w:t xml:space="preserve"> es adaptar para cambiar el usuario de </w:t>
      </w:r>
      <w:proofErr w:type="spellStart"/>
      <w:r w:rsidR="009A0C01">
        <w:t>ucdvult</w:t>
      </w:r>
      <w:proofErr w:type="spellEnd"/>
      <w:r w:rsidR="009A0C01">
        <w:t xml:space="preserve"> a </w:t>
      </w:r>
      <w:proofErr w:type="spellStart"/>
      <w:r w:rsidR="009A0C01">
        <w:t>ui_</w:t>
      </w:r>
      <w:r w:rsidR="000A6A1C">
        <w:t>m</w:t>
      </w:r>
      <w:r w:rsidR="009A0C01">
        <w:t>ac</w:t>
      </w:r>
      <w:proofErr w:type="spellEnd"/>
      <w:r w:rsidR="009A0C01">
        <w:t xml:space="preserve"> y las conexiones del host de </w:t>
      </w:r>
      <w:proofErr w:type="spellStart"/>
      <w:r w:rsidR="009A0C01">
        <w:t>cert</w:t>
      </w:r>
      <w:proofErr w:type="spellEnd"/>
      <w:r w:rsidR="009A0C01">
        <w:t xml:space="preserve"> a PRE. </w:t>
      </w:r>
      <w:r w:rsidR="00C77F14">
        <w:t xml:space="preserve">Además, se selecciona la anterior conexión creada en el </w:t>
      </w:r>
      <w:proofErr w:type="spellStart"/>
      <w:r w:rsidR="00C77F14">
        <w:t>inventory</w:t>
      </w:r>
      <w:proofErr w:type="spellEnd"/>
      <w:r w:rsidR="00C77F14">
        <w:t xml:space="preserve"> “</w:t>
      </w:r>
      <w:proofErr w:type="spellStart"/>
      <w:r w:rsidR="00C77F14">
        <w:t>precert</w:t>
      </w:r>
      <w:proofErr w:type="spellEnd"/>
      <w:r w:rsidR="00C77F14">
        <w:t>”</w:t>
      </w:r>
      <w:r w:rsidR="00311F14">
        <w:t xml:space="preserve"> dentro de la variable </w:t>
      </w:r>
      <w:proofErr w:type="spellStart"/>
      <w:r w:rsidR="00311F14">
        <w:t>inventory_hostname</w:t>
      </w:r>
      <w:proofErr w:type="spellEnd"/>
      <w:r w:rsidR="00311F14">
        <w:t xml:space="preserve">. </w:t>
      </w:r>
      <w:r w:rsidR="00764527">
        <w:t xml:space="preserve">Además, cambiamos el antiguo </w:t>
      </w:r>
      <w:proofErr w:type="spellStart"/>
      <w:r w:rsidR="00764527">
        <w:t>environment_cert</w:t>
      </w:r>
      <w:proofErr w:type="spellEnd"/>
      <w:r w:rsidR="00764527">
        <w:t xml:space="preserve"> por el nuevo generado </w:t>
      </w:r>
      <w:proofErr w:type="spellStart"/>
      <w:r w:rsidR="00764527">
        <w:t>environment_PRECERT</w:t>
      </w:r>
      <w:proofErr w:type="spellEnd"/>
      <w:r w:rsidR="00764527">
        <w:t>.</w:t>
      </w:r>
    </w:p>
    <w:p w14:paraId="210C4C9F" w14:textId="07ADB63A" w:rsidR="004F02CF" w:rsidRDefault="00820C07" w:rsidP="004F02CF">
      <w:pPr>
        <w:pStyle w:val="Ttulo2"/>
        <w:numPr>
          <w:ilvl w:val="1"/>
          <w:numId w:val="1"/>
        </w:numPr>
      </w:pPr>
      <w:bookmarkStart w:id="5" w:name="_Toc185243773"/>
      <w:proofErr w:type="spellStart"/>
      <w:r>
        <w:t>Jenkinsfile</w:t>
      </w:r>
      <w:bookmarkEnd w:id="5"/>
      <w:proofErr w:type="spellEnd"/>
    </w:p>
    <w:p w14:paraId="145BB011" w14:textId="77777777" w:rsidR="00281E92" w:rsidRDefault="00281E92" w:rsidP="00281E92"/>
    <w:p w14:paraId="2FA66EF6" w14:textId="5E9CF2DF" w:rsidR="00281E92" w:rsidRDefault="00281E92" w:rsidP="00281E92">
      <w:r>
        <w:t xml:space="preserve">Finalmente, hay que modificar el fichero </w:t>
      </w:r>
      <w:proofErr w:type="spellStart"/>
      <w:r>
        <w:t>Jenkinsfile</w:t>
      </w:r>
      <w:proofErr w:type="spellEnd"/>
      <w:r>
        <w:t xml:space="preserve">, que es el que lee el Jenkins para desplegar correctamente </w:t>
      </w:r>
      <w:proofErr w:type="gramStart"/>
      <w:r>
        <w:t>la pipeline</w:t>
      </w:r>
      <w:proofErr w:type="gramEnd"/>
      <w:r>
        <w:t xml:space="preserve">. </w:t>
      </w:r>
      <w:r w:rsidR="00FC7CA3">
        <w:t>El único cambio que hay que hacer, es adaptar el fichero para que coja la nueva conexión “</w:t>
      </w:r>
      <w:proofErr w:type="spellStart"/>
      <w:r w:rsidR="00CA1D82">
        <w:t>edgeNodePRECERT</w:t>
      </w:r>
      <w:proofErr w:type="spellEnd"/>
      <w:r w:rsidR="00CA1D82">
        <w:t>”:</w:t>
      </w:r>
    </w:p>
    <w:p w14:paraId="10C6FE0D" w14:textId="75FD0724" w:rsidR="00CA1D82" w:rsidRPr="00281E92" w:rsidRDefault="00931F21" w:rsidP="00281E92">
      <w:r>
        <w:rPr>
          <w:noProof/>
        </w:rPr>
        <w:lastRenderedPageBreak/>
        <w:drawing>
          <wp:inline distT="0" distB="0" distL="0" distR="0" wp14:anchorId="0707E532" wp14:editId="799F030B">
            <wp:extent cx="4272346" cy="3364523"/>
            <wp:effectExtent l="0" t="0" r="0" b="7620"/>
            <wp:docPr id="8601617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178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732" cy="33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D82" w:rsidRPr="00281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B7F71"/>
    <w:multiLevelType w:val="multilevel"/>
    <w:tmpl w:val="8078D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43C165E"/>
    <w:multiLevelType w:val="hybridMultilevel"/>
    <w:tmpl w:val="C0EA48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2876">
    <w:abstractNumId w:val="0"/>
  </w:num>
  <w:num w:numId="2" w16cid:durableId="178199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ED"/>
    <w:rsid w:val="000A6A1C"/>
    <w:rsid w:val="000D1890"/>
    <w:rsid w:val="00160CEA"/>
    <w:rsid w:val="00197FA4"/>
    <w:rsid w:val="001B06C1"/>
    <w:rsid w:val="00224DBC"/>
    <w:rsid w:val="00266748"/>
    <w:rsid w:val="00281E92"/>
    <w:rsid w:val="002E2AA1"/>
    <w:rsid w:val="00311F14"/>
    <w:rsid w:val="00336071"/>
    <w:rsid w:val="00351A75"/>
    <w:rsid w:val="003E7678"/>
    <w:rsid w:val="004576A8"/>
    <w:rsid w:val="004723F7"/>
    <w:rsid w:val="004F02CF"/>
    <w:rsid w:val="005261D5"/>
    <w:rsid w:val="006D3F40"/>
    <w:rsid w:val="00764527"/>
    <w:rsid w:val="007B7E06"/>
    <w:rsid w:val="007D6936"/>
    <w:rsid w:val="00820C07"/>
    <w:rsid w:val="008466E4"/>
    <w:rsid w:val="008716D4"/>
    <w:rsid w:val="008A7105"/>
    <w:rsid w:val="008C3A90"/>
    <w:rsid w:val="008D4BFC"/>
    <w:rsid w:val="00903C05"/>
    <w:rsid w:val="00924B2A"/>
    <w:rsid w:val="00925921"/>
    <w:rsid w:val="00931F21"/>
    <w:rsid w:val="00947C06"/>
    <w:rsid w:val="0095305D"/>
    <w:rsid w:val="00965DF0"/>
    <w:rsid w:val="009A0C01"/>
    <w:rsid w:val="00AF009E"/>
    <w:rsid w:val="00BC0D22"/>
    <w:rsid w:val="00C101B4"/>
    <w:rsid w:val="00C77F14"/>
    <w:rsid w:val="00CA1D82"/>
    <w:rsid w:val="00D81EED"/>
    <w:rsid w:val="00E11B6E"/>
    <w:rsid w:val="00E8516D"/>
    <w:rsid w:val="00F04012"/>
    <w:rsid w:val="00F36AB6"/>
    <w:rsid w:val="00F3714C"/>
    <w:rsid w:val="00FC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5CEC"/>
  <w15:chartTrackingRefBased/>
  <w15:docId w15:val="{EEA3E0F3-B17A-4CF1-AEB9-FC8582E3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1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E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E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E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E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E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E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E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EE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81EED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81EE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81EE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81EED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D81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alm.europe.cloudcenter.corp/gsc-mac/mac-configuration-isba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67CCF45554C4AA1C96BAAE0ABD4FA" ma:contentTypeVersion="13" ma:contentTypeDescription="Create a new document." ma:contentTypeScope="" ma:versionID="cbaec431e5785e54b5b14e0956360acd">
  <xsd:schema xmlns:xsd="http://www.w3.org/2001/XMLSchema" xmlns:xs="http://www.w3.org/2001/XMLSchema" xmlns:p="http://schemas.microsoft.com/office/2006/metadata/properties" xmlns:ns2="9e8554f7-cace-4432-9078-0ea74170ea13" xmlns:ns3="16d9d8a6-1975-4345-94bd-dcb5fa13e3bb" targetNamespace="http://schemas.microsoft.com/office/2006/metadata/properties" ma:root="true" ma:fieldsID="d4a3f21939d1d236ef90b8e49ab7677a" ns2:_="" ns3:_="">
    <xsd:import namespace="9e8554f7-cace-4432-9078-0ea74170ea13"/>
    <xsd:import namespace="16d9d8a6-1975-4345-94bd-dcb5fa13e3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554f7-cace-4432-9078-0ea74170e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471ada5-31db-43fa-8830-84ca9293ff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9d8a6-1975-4345-94bd-dcb5fa13e3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9c74b6b-e83a-4970-b0f4-2f2bebc42be1}" ma:internalName="TaxCatchAll" ma:showField="CatchAllData" ma:web="16d9d8a6-1975-4345-94bd-dcb5fa13e3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d9d8a6-1975-4345-94bd-dcb5fa13e3bb" xsi:nil="true"/>
    <lcf76f155ced4ddcb4097134ff3c332f xmlns="9e8554f7-cace-4432-9078-0ea74170e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0C9F03-7862-4070-A184-B96EAE214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554f7-cace-4432-9078-0ea74170ea13"/>
    <ds:schemaRef ds:uri="16d9d8a6-1975-4345-94bd-dcb5fa13e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5DEABC-0944-46BE-939E-AD6B5637A3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07C60C-6CB7-44EF-8DC4-A9275785CB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69E7B-80A4-4D4B-B90C-55B1F08A6F2F}">
  <ds:schemaRefs>
    <ds:schemaRef ds:uri="http://schemas.microsoft.com/office/2006/metadata/properties"/>
    <ds:schemaRef ds:uri="http://schemas.microsoft.com/office/infopath/2007/PartnerControls"/>
    <ds:schemaRef ds:uri="16d9d8a6-1975-4345-94bd-dcb5fa13e3bb"/>
    <ds:schemaRef ds:uri="9e8554f7-cace-4432-9078-0ea74170ea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Santander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Mulero Nerea</dc:creator>
  <cp:keywords/>
  <dc:description/>
  <cp:lastModifiedBy>Calderon Mulero Nerea</cp:lastModifiedBy>
  <cp:revision>44</cp:revision>
  <dcterms:created xsi:type="dcterms:W3CDTF">2024-12-11T14:17:00Z</dcterms:created>
  <dcterms:modified xsi:type="dcterms:W3CDTF">2024-12-16T11:17:00Z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2024-12-11T14:22:10Z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00947f3e-1d0a-48dc-a99a-1d24f55472a3</vt:lpwstr>
  </property>
  <property fmtid="{D5CDD505-2E9C-101B-9397-08002B2CF9AE}" pid="8" name="MSIP_Label_41b88ec2-a72b-4523-9e84-0458a1764731_ContentBits">
    <vt:lpwstr>0</vt:lpwstr>
  </property>
  <property fmtid="{D5CDD505-2E9C-101B-9397-08002B2CF9AE}" pid="9" name="ContentTypeId">
    <vt:lpwstr>0x01010048A67CCF45554C4AA1C96BAAE0ABD4FA</vt:lpwstr>
  </property>
  <property fmtid="{D5CDD505-2E9C-101B-9397-08002B2CF9AE}" pid="10" name="MediaServiceImageTags">
    <vt:lpwstr/>
  </property>
</Properties>
</file>