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720"/>
      </w:pPr>
    </w:p>
    <w:p>
      <w:pPr>
        <w:spacing w:line="720"/>
      </w:pPr>
    </w:p>
    <w:p>
      <w:pPr>
        <w:pStyle w:val="Heading1"/>
        <w:shd w:color="F0F4F8" w:val="clear"/>
        <w:spacing w:after="120" w:line="480"/>
        <w:jc w:val="center"/>
      </w:pPr>
      <w:r>
        <w:t xml:space="preserve">PROPUESTA DE HONORARIOS PROFESIONALES</w:t>
      </w:r>
    </w:p>
    <w:p>
      <w:pPr>
        <w:pStyle w:val="Subtitle"/>
        <w:spacing w:after="480" w:line="240"/>
        <w:jc w:val="center"/>
      </w:pPr>
      <w:r>
        <w:t xml:space="preserve">Servicios de arquitectura</w:t>
      </w:r>
    </w:p>
    <w:p>
      <w:pPr>
        <w:spacing w:line="720"/>
      </w:pPr>
    </w:p>
    <w:p>
      <w:pPr>
        <w:pStyle w:val="Heading2"/>
        <w:spacing w:after="120" w:line="240"/>
      </w:pPr>
      <w:r>
        <w:t xml:space="preserve">Profesionista</w:t>
      </w:r>
    </w:p>
    <w:p>
      <w:pPr>
        <w:spacing w:after="60" w:line="240"/>
      </w:pPr>
      <w:r>
        <w:rPr>
          <w:b/>
          <w:bCs/>
        </w:rPr>
        <w:t xml:space="preserve">Nombre: </w:t>
      </w:r>
      <w:r>
        <w:t xml:space="preserve">Arq. Diego Peregrina López</w:t>
      </w:r>
    </w:p>
    <w:p>
      <w:pPr>
        <w:spacing w:after="240" w:line="240"/>
      </w:pPr>
      <w:r>
        <w:rPr>
          <w:b/>
          <w:bCs/>
        </w:rPr>
        <w:t xml:space="preserve">Cédula profesional: </w:t>
      </w:r>
      <w:r>
        <w:t xml:space="preserve">12345-PEMEX-2020</w:t>
      </w:r>
    </w:p>
    <w:p>
      <w:pPr>
        <w:pStyle w:val="Heading2"/>
        <w:spacing w:after="120" w:line="240"/>
      </w:pPr>
      <w:r>
        <w:t xml:space="preserve">Datos del proyecto</w:t>
      </w:r>
    </w:p>
    <w:p>
      <w:pPr>
        <w:spacing w:after="60" w:line="240"/>
      </w:pPr>
      <w:r>
        <w:rPr>
          <w:b/>
          <w:bCs/>
        </w:rPr>
        <w:t xml:space="preserve">Género constructivo: </w:t>
      </w:r>
      <w:r>
        <w:t xml:space="preserve">J-8 · Casa-Habitación Residencial — FC 1.0</w:t>
      </w:r>
    </w:p>
    <w:p>
      <w:pPr>
        <w:spacing w:after="60" w:line="240"/>
      </w:pPr>
      <w:r>
        <w:rPr>
          <w:b/>
          <w:bCs/>
        </w:rPr>
        <w:t xml:space="preserve">Superficie construida: </w:t>
      </w:r>
      <w:r>
        <w:t xml:space="preserve">1,732 m²</w:t>
      </w:r>
    </w:p>
    <w:p>
      <w:pPr>
        <w:spacing w:after="60" w:line="240"/>
      </w:pPr>
      <w:r>
        <w:rPr>
          <w:b/>
          <w:bCs/>
        </w:rPr>
        <w:t xml:space="preserve">Costo base por m² (CBM): </w:t>
      </w:r>
      <w:r>
        <w:t xml:space="preserve">$8,025</w:t>
      </w:r>
    </w:p>
    <w:p>
      <w:pPr>
        <w:spacing w:after="240" w:line="240"/>
      </w:pPr>
      <w:r>
        <w:rPr>
          <w:b/>
          <w:bCs/>
        </w:rPr>
        <w:t xml:space="preserve">Factor regional (FR): </w:t>
      </w:r>
      <w:r>
        <w:t xml:space="preserve">0.95</w:t>
      </w:r>
    </w:p>
    <w:p>
      <w:pPr>
        <w:pStyle w:val="Heading2"/>
        <w:spacing w:after="120" w:line="240"/>
      </w:pPr>
      <w:r>
        <w:t xml:space="preserve">Cálculo de honorarios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</w:tblGrid>
      <w:tr>
        <w:tc>
          <w:tcPr>
            <w:tcW w:type="dxa" w:w="3600"/>
            <w:shd w:color="E8EFF5" w:val="clear"/>
          </w:tcPr>
          <w:p>
            <w:pPr>
              <w:shd w:color="E8EFF5" w:val="clear"/>
            </w:pPr>
            <w:r>
              <w:t xml:space="preserve">Concepto</w:t>
            </w:r>
          </w:p>
        </w:tc>
        <w:tc>
          <w:tcPr>
            <w:tcW w:type="dxa" w:w="2400"/>
            <w:shd w:color="E8EFF5" w:val="clear"/>
          </w:tcPr>
          <w:p>
            <w:pPr>
              <w:shd w:color="E8EFF5" w:val="clear"/>
              <w:jc w:val="right"/>
            </w:pPr>
            <w:r>
              <w:t xml:space="preserve">Valor</w:t>
            </w:r>
          </w:p>
        </w:tc>
      </w:tr>
      <w:tr>
        <w:tc>
          <w:tcPr>
            <w:tcW w:type="dxa" w:w="3600"/>
          </w:tcPr>
          <w:p>
            <w:r>
              <w:t xml:space="preserve">Costo directo estimado (CO)</w:t>
            </w:r>
          </w:p>
        </w:tc>
        <w:tc>
          <w:tcPr>
            <w:tcW w:type="dxa" w:w="2400"/>
          </w:tcPr>
          <w:p>
            <w:pPr>
              <w:jc w:val="right"/>
            </w:pPr>
            <w:r>
              <w:t xml:space="preserve">$13,922,700</w:t>
            </w:r>
          </w:p>
        </w:tc>
      </w:tr>
      <w:tr>
        <w:tc>
          <w:tcPr>
            <w:tcW w:type="dxa" w:w="3600"/>
          </w:tcPr>
          <w:p>
            <w:r>
              <w:t xml:space="preserve">Factor de superficie (FS)</w:t>
            </w:r>
          </w:p>
        </w:tc>
        <w:tc>
          <w:tcPr>
            <w:tcW w:type="dxa" w:w="2400"/>
          </w:tcPr>
          <w:p>
            <w:pPr>
              <w:jc w:val="right"/>
            </w:pPr>
            <w:r>
              <w:t xml:space="preserve">11.42</w:t>
            </w:r>
          </w:p>
        </w:tc>
      </w:tr>
      <w:tr>
        <w:tc>
          <w:tcPr>
            <w:tcW w:type="dxa" w:w="3600"/>
            <w:shd w:color="F0F4F8" w:val="clear"/>
          </w:tcPr>
          <w:p>
            <w:r>
              <w:t xml:space="preserve">Honorario base (H)</w:t>
            </w:r>
          </w:p>
        </w:tc>
        <w:tc>
          <w:tcPr>
            <w:tcW w:type="dxa" w:w="2400"/>
            <w:shd w:color="F0F4F8" w:val="clear"/>
          </w:tcPr>
          <w:p>
            <w:pPr>
              <w:jc w:val="right"/>
            </w:pPr>
            <w:r>
              <w:t xml:space="preserve">$1,512,571</w:t>
            </w:r>
          </w:p>
        </w:tc>
      </w:tr>
    </w:tbl>
    <w:p>
      <w:pPr>
        <w:spacing w:line="240"/>
      </w:pPr>
    </w:p>
    <w:p>
      <w:pPr>
        <w:pStyle w:val="Heading2"/>
        <w:spacing w:after="120" w:line="240"/>
      </w:pPr>
      <w:r>
        <w:t xml:space="preserve">Alcance del servicio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</w:tblGrid>
      <w:tr>
        <w:tc>
          <w:tcPr>
            <w:tcW w:type="dxa" w:w="4200"/>
            <w:shd w:color="E8EFF5" w:val="clear"/>
          </w:tcPr>
          <w:p>
            <w:pPr>
              <w:shd w:color="E8EFF5" w:val="clear"/>
            </w:pPr>
            <w:r>
              <w:t xml:space="preserve">Concepto</w:t>
            </w:r>
          </w:p>
        </w:tc>
        <w:tc>
          <w:tcPr>
            <w:tcW w:type="dxa" w:w="1400"/>
            <w:shd w:color="E8EFF5" w:val="clear"/>
          </w:tcPr>
          <w:p>
            <w:pPr>
              <w:shd w:color="E8EFF5" w:val="clear"/>
              <w:jc w:val="center"/>
            </w:pPr>
            <w:r>
              <w:t xml:space="preserve">% incluido</w:t>
            </w:r>
          </w:p>
        </w:tc>
      </w:tr>
      <w:tr>
        <w:tc>
          <w:tcPr>
            <w:tcW w:type="dxa" w:w="4200"/>
          </w:tcPr>
          <w:p>
            <w:r>
              <w:t xml:space="preserve">I.1- DISEÑO CONCEPTUAL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 xml:space="preserve">11%</w:t>
            </w:r>
          </w:p>
        </w:tc>
      </w:tr>
      <w:tr>
        <w:tc>
          <w:tcPr>
            <w:tcW w:type="dxa" w:w="4200"/>
          </w:tcPr>
          <w:p>
            <w:r>
              <w:t xml:space="preserve">I.2.-ANTEPROYECTO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 xml:space="preserve">20%</w:t>
            </w:r>
          </w:p>
        </w:tc>
      </w:tr>
      <w:tr>
        <w:tc>
          <w:tcPr>
            <w:tcW w:type="dxa" w:w="4200"/>
          </w:tcPr>
          <w:p>
            <w:r>
              <w:t xml:space="preserve">I.3.- DISEÑO EJECUTIVO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 xml:space="preserve">35%</w:t>
            </w:r>
          </w:p>
        </w:tc>
      </w:tr>
      <w:tr>
        <w:tc>
          <w:tcPr>
            <w:tcW w:type="dxa" w:w="4200"/>
          </w:tcPr>
          <w:p>
            <w:r>
              <w:t xml:space="preserve">I.4.- ESTRUCTURA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 xml:space="preserve">12%</w:t>
            </w:r>
          </w:p>
        </w:tc>
      </w:tr>
      <w:tr>
        <w:tc>
          <w:tcPr>
            <w:tcW w:type="dxa" w:w="4200"/>
          </w:tcPr>
          <w:p>
            <w:r>
              <w:t xml:space="preserve">I.5.- INSTALACIÓN ELÉCTRICA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 xml:space="preserve">10%</w:t>
            </w:r>
          </w:p>
        </w:tc>
      </w:tr>
      <w:tr>
        <w:tc>
          <w:tcPr>
            <w:tcW w:type="dxa" w:w="4200"/>
          </w:tcPr>
          <w:p>
            <w:r>
              <w:t xml:space="preserve">I.6.- INSTALACIÓN HIDROSANITARIA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 xml:space="preserve">8%</w:t>
            </w:r>
          </w:p>
        </w:tc>
      </w:tr>
    </w:tbl>
    <w:p>
      <w:pPr>
        <w:spacing w:line="480"/>
      </w:pPr>
    </w:p>
    <w:p>
      <w:pPr>
        <w:pStyle w:val="Heading2"/>
        <w:spacing w:after="120" w:line="240"/>
      </w:pPr>
      <w:r>
        <w:t xml:space="preserve">Notas importantes</w:t>
      </w:r>
    </w:p>
    <w:p>
      <w:pPr>
        <w:spacing w:after="120" w:line="240"/>
        <w:jc w:val="both"/>
      </w:pPr>
      <w:r>
        <w:rPr>
          <w:b/>
          <w:bCs/>
        </w:rPr>
        <w:t xml:space="preserve">Vigencia: </w:t>
      </w:r>
      <w:r>
        <w:t xml:space="preserve">Esta propuesta se basa en los parámetros FCARM 2022. Se recomienda verificar la vigencia de los valores (CBM, SMD, FR) antes de la contratación.</w:t>
      </w:r>
    </w:p>
    <w:p>
      <w:pPr>
        <w:spacing w:after="120" w:line="240"/>
        <w:jc w:val="both"/>
      </w:pPr>
      <w:r>
        <w:rPr>
          <w:b/>
          <w:bCs/>
        </w:rPr>
        <w:t xml:space="preserve">Alcance: </w:t>
      </w:r>
      <w:r>
        <w:t xml:space="preserve">El honorario corresponde únicamente a los servicios de arquitectura especificados. No incluye gastos de supervisión, análisis de precios unitarios, presupuestos, permisos o trámites administrativos.</w:t>
      </w:r>
    </w:p>
    <w:p>
      <w:pPr>
        <w:pStyle w:val="FooterStyle"/>
        <w:spacing w:before="480" w:line="240"/>
        <w:jc w:val="center"/>
      </w:pPr>
      <w:r>
        <w:t xml:space="preserve">Generado con la Calculadora de Honorarios FCARM</w:t>
      </w:r>
    </w:p>
    <w:p>
      <w:pPr>
        <w:pStyle w:val="FooterStyle"/>
        <w:jc w:val="center"/>
      </w:pPr>
      <w:r>
        <w:t xml:space="preserve">Idea y desarrollo por el Arq. Diego Peregrina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2026-08-20T19:09:36.472Z</dcterms:created>
  <dcterms:modified xsi:type="dcterms:W3CDTF">2026-08-20T19:09:36.472Z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