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STEPHEN PERELGUT</w:t>
      </w:r>
    </w:p>
    <w:p>
      <w:pPr>
        <w:spacing w:after="2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Research, Strategy &amp; Public Policy Leadership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Thought Leadership  ·  Government &amp; Cross-Sector Partnerships  ·  Executive Advisory</w:t>
      </w:r>
    </w:p>
    <w:p>
      <w:pPr>
        <w:spacing w:after="40"/>
        <w:jc w:val="center"/>
      </w:pPr>
      <w:r>
        <w:rPr>
          <w:rFonts w:ascii="Arial" w:cs="Arial" w:eastAsia="Arial" w:hAnsi="Arial"/>
          <w:sz w:val="19"/>
          <w:szCs w:val="19"/>
        </w:rPr>
        <w:t xml:space="preserve">Toronto, ON  |  (647) 290-8795  |  perelgut@gmail.com  |  linkedin.com/in/stephenperelgut</w:t>
      </w:r>
    </w:p>
    <w:p>
      <w:pPr>
        <w:pBdr>
          <w:bottom w:val="single" w:color="888888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EXECUTIVE SUMMARY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Research and strategy leader with 25+ years setting agendas at the intersection of government, academia, and industry – translating emerging economic, technological, and societal trends into decision-ready insight for senior audiences. Worked hand-in-hand with federal and provincial research and funding agencies, served on research review boards, and co-architected a national research platform that secured $500M+ in funding. A co-author of widely-cited research (two works generating 1,200+ citations together) and sought-after educator who makes complex ideas land with C-suite and public audiences. Continues to shape national funding decisions as an Emeritus member of the Mitacs Research Review Board – with the convening networks and fiduciary discipline to help position a centre as a leading national voice.</w:t>
      </w:r>
    </w:p>
    <w:p>
      <w:pPr>
        <w:pBdr>
          <w:bottom w:val="single" w:color="888888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AREAS OF EXPERTISE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Research &amp; thought-leadership strategy; agenda setting and strategic positioning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Government relations &amp; research-funding agencies (federal and provincial); review-board service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Cross-sector partnerships across government, academia, and industry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Research commercialization &amp; large-scale funding strategy ($500M+)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Cross-functional &amp; hybrid team leadership, hiring, and development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Executive &amp; C-suite communication, executive education, and public speaking</w:t>
      </w:r>
    </w:p>
    <w:p>
      <w:pPr>
        <w:pBdr>
          <w:bottom w:val="single" w:color="888888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after="0" w:before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Academic Consultant &amp; Capstone Director – AI &amp; Analytics Strategy</w:t>
      </w:r>
    </w:p>
    <w:p>
      <w:pPr>
        <w:spacing w:after="5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2020 – Present  ·  University of Toronto, Toronto Metropolitan University, Seneca, SAIT, University of Ottawa (PDI)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Co-developed and delivered executive-education programs for senior leaders (University of Ottawa Professional Development Institute), translating emerging technology and its strategic implications into actionable guidance for non-technical and C-suite audiences.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Set the agenda for applied research and analytics initiatives, mentoring cross-functional teams to deliver decision-ready, real-world solutions.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Advise institutional and industry stakeholders on the adoption of emerging innovation, influencing strategy across sectors.</w:t>
      </w:r>
    </w:p>
    <w:p>
      <w:pPr>
        <w:spacing w:after="0" w:before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 Coordinator &amp; Faculty Leader – Computer Programming</w:t>
      </w:r>
    </w:p>
    <w:p>
      <w:pPr>
        <w:spacing w:after="5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2021 – 2025  ·  triOS College (in partnership with Sault College)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Built and led a multi-disciplinary faculty team, directing curriculum strategy and delivery across a hybrid, multi-campus environment.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Aligned program design with evolving industry and enterprise requirements to ensure relevance and measurable outcomes.</w:t>
      </w:r>
    </w:p>
    <w:p>
      <w:pPr>
        <w:spacing w:after="0" w:before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Lead, IBM Innovation Space (Toronto)</w:t>
      </w:r>
    </w:p>
    <w:p>
      <w:pPr>
        <w:spacing w:after="5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2017 – 2019  ·  IBM Canada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Led the establishment and launch of the IBM Innovation Space in downtown Toronto (Spadina, north of Queen) – a physical hub for innovation, collaboration, and client, startup, and partner engagement.</w:t>
      </w:r>
    </w:p>
    <w:p>
      <w:pPr>
        <w:spacing w:after="0" w:before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University Relations Manager – Academic Partnerships &amp; R&amp;D Strategy</w:t>
      </w:r>
    </w:p>
    <w:p>
      <w:pPr>
        <w:spacing w:after="5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2001 – 2017  ·  IBM Canada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Worked closely with federal and provincial government research and funding agencies, and served on research review boards – shaping funding decisions, research priorities, and national innovation programs.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Co-architected SOSCIP, a multi-partner advanced-computing and analytics consortium, securing $500M+ in combined funding – a landmark public-private research investment.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Defined and executed a national research-and-partnership agenda, aligning academic, government, and enterprise priorities with IBM’s strategic objectives.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Served as executive liaison to senior leadership, advising on strategic positioning and translating research into deployable, commercially-relevant outcomes.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Built, hired, and developed high-performing interdisciplinary teams, and sustained the cross-sector networks – universities, governments, funding agencies, and industry – behind large-scale national initiatives.</w:t>
      </w:r>
    </w:p>
    <w:p>
      <w:pPr>
        <w:pBdr>
          <w:bottom w:val="single" w:color="888888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ADVISORY &amp; GOVERNANCE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Mitacs Research Review Board – Emeritus Member (ongoing): adjudicate and help shape national research-funding decisions.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NSERC Grant Reviewer – federal research-funding adjudication.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Ontario Research Fund – Advisor.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Vice-President, Board of Directors, Ontario condominium corporation – fiduciary oversight of a $2.5M annual operating budget.</w:t>
      </w:r>
    </w:p>
    <w:p>
      <w:pPr>
        <w:pBdr>
          <w:bottom w:val="single" w:color="888888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RESEARCH &amp; THOUGHT LEADERSHIP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Co-author of multiple peer-reviewed publications, including two that together have generated 1,200+ citations (Google Scholar).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Selected work: “The Software Bookshelf” (850+ citations); “Virtual Worlds – Past, Present and Future” (300+ citations).</w:t>
      </w:r>
    </w:p>
    <w:p>
      <w:pPr>
        <w:pBdr>
          <w:bottom w:val="single" w:color="888888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MSc, Computer Science – University of Toronto</w:t>
      </w:r>
    </w:p>
    <w:p>
      <w:pPr>
        <w:pStyle w:val="ListParagraph"/>
        <w:numPr>
          <w:ilvl w:val="0"/>
          <w:numId w:val="2"/>
        </w:numPr>
        <w:spacing w:after="54"/>
      </w:pPr>
      <w:r>
        <w:rPr>
          <w:rFonts w:ascii="Arial" w:cs="Arial" w:eastAsia="Arial" w:hAnsi="Arial"/>
          <w:sz w:val="21"/>
          <w:szCs w:val="21"/>
        </w:rPr>
        <w:t xml:space="preserve">BASc, Engineering Science – University of Toronto</w:t>
      </w:r>
    </w:p>
    <w:p>
      <w:pPr>
        <w:pBdr>
          <w:bottom w:val="single" w:color="888888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DOMAIN FLUENCY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Generative AI, large language models, NLP and data-driven analysis – fluency in the emerging-technology forces shaping industrial strategy and Canada’s future competitiveness.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2026-06-29T01:59:05.247Z</dcterms:created>
  <dcterms:modified xsi:type="dcterms:W3CDTF">2026-06-29T01:59:05.254Z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