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</w:p>
    <w:p>
      <w:pPr>
        <w:pStyle w:val="Author"/>
      </w:pPr>
      <w:r>
        <w:t xml:space="preserve">Miquel</w:t>
      </w:r>
      <w:r>
        <w:t xml:space="preserve"> </w:t>
      </w:r>
      <w:r>
        <w:t xml:space="preserve">Perello-Nieto</w:t>
      </w:r>
    </w:p>
    <w:p>
      <w:pPr>
        <w:pStyle w:val="Date"/>
      </w:pPr>
      <w:r>
        <w:t xml:space="preserve">3/29/23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reference</w:t>
      </w:r>
      <w:r>
        <w:t xml:space="preserve"> </w:t>
      </w:r>
      <w:r>
        <w:t xml:space="preserve">Sokol and Flach (2021)</w:t>
      </w:r>
    </w:p>
    <w:bookmarkEnd w:id="20"/>
    <w:bookmarkStart w:id="40" w:name="callout-notes"/>
    <w:p>
      <w:pPr>
        <w:pStyle w:val="Heading1"/>
      </w:pPr>
      <w:r>
        <w:t xml:space="preserve">Callout notes</w:t>
      </w:r>
    </w:p>
    <w:p>
      <w:pPr>
        <w:pStyle w:val="FirstParagraph"/>
      </w:pPr>
      <w:r>
        <w:t xml:space="preserve">There are five types of call out notes, which can even hide the content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 can add a title to the note with a hastag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tip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warning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caution callout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important callout</w:t>
            </w:r>
          </w:p>
        </w:tc>
      </w:tr>
    </w:tbl>
    <w:p>
      <w:pPr>
        <w:pStyle w:val="BodyText"/>
      </w:pPr>
      <w:r>
        <w:t xml:space="preserve">It is possible to modify the callout including different header text, and</w:t>
      </w:r>
      <w:r>
        <w:t xml:space="preserve"> </w:t>
      </w:r>
      <w:r>
        <w:t xml:space="preserve">hidding the content in a foldable box.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 can add a title to the note with a hastag #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 with a different title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 can hidde the content with collapse=</w:t>
            </w:r>
            <w:r>
              <w:t xml:space="preserve">“</w:t>
            </w:r>
            <w:r>
              <w:t xml:space="preserve">true</w:t>
            </w:r>
            <w:r>
              <w:t xml:space="preserve">”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 with a different title and collapsed.</w:t>
            </w:r>
          </w:p>
        </w:tc>
      </w:tr>
    </w:tbl>
    <w:bookmarkEnd w:id="40"/>
    <w:bookmarkStart w:id="41" w:name="maths-and-equations"/>
    <w:p>
      <w:pPr>
        <w:pStyle w:val="Heading1"/>
      </w:pPr>
      <w:r>
        <w:t xml:space="preserve">Maths and equations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41"/>
    <w:bookmarkStart w:id="45" w:name="python-plots"/>
    <w:p>
      <w:pPr>
        <w:pStyle w:val="Heading1"/>
      </w:pPr>
      <w:r>
        <w:t xml:space="preserve">Python plots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010025" cy="320992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7" w:name="ref-sokol2021you"/>
    <w:p>
      <w:pPr>
        <w:pStyle w:val="Bibliography"/>
      </w:pPr>
      <w:r>
        <w:t xml:space="preserve">Sokol, Kacper, and Peter Flach. 2021.</w:t>
      </w:r>
      <w:r>
        <w:t xml:space="preserve"> </w:t>
      </w:r>
      <w:r>
        <w:t xml:space="preserve">“</w:t>
      </w:r>
      <w:r>
        <w:t xml:space="preserve">Y</w:t>
      </w:r>
      <w:r>
        <w:t xml:space="preserve">ou</w:t>
      </w:r>
      <w:r>
        <w:t xml:space="preserve"> </w:t>
      </w:r>
      <w:r>
        <w:t xml:space="preserve">O</w:t>
      </w:r>
      <w:r>
        <w:t xml:space="preserve">nly</w:t>
      </w:r>
      <w:r>
        <w:t xml:space="preserve"> </w:t>
      </w:r>
      <w:r>
        <w:t xml:space="preserve">W</w:t>
      </w:r>
      <w:r>
        <w:t xml:space="preserve">rite</w:t>
      </w:r>
      <w:r>
        <w:t xml:space="preserve"> </w:t>
      </w:r>
      <w:r>
        <w:t xml:space="preserve">T</w:t>
      </w:r>
      <w:r>
        <w:t xml:space="preserve">hrice:</w:t>
      </w:r>
      <w:r>
        <w:t xml:space="preserve"> </w:t>
      </w:r>
      <w:r>
        <w:t xml:space="preserve">C</w:t>
      </w:r>
      <w:r>
        <w:t xml:space="preserve">reating</w:t>
      </w:r>
      <w:r>
        <w:t xml:space="preserve"> </w:t>
      </w:r>
      <w:r>
        <w:t xml:space="preserve">D</w:t>
      </w:r>
      <w:r>
        <w:t xml:space="preserve">ocuments,</w:t>
      </w:r>
      <w:r>
        <w:t xml:space="preserve"> </w:t>
      </w:r>
      <w:r>
        <w:t xml:space="preserve">C</w:t>
      </w:r>
      <w:r>
        <w:t xml:space="preserve">omputational</w:t>
      </w:r>
      <w:r>
        <w:t xml:space="preserve"> </w:t>
      </w:r>
      <w:r>
        <w:t xml:space="preserve">N</w:t>
      </w:r>
      <w:r>
        <w:t xml:space="preserve">otebooks and</w:t>
      </w:r>
      <w:r>
        <w:t xml:space="preserve"> </w:t>
      </w:r>
      <w:r>
        <w:t xml:space="preserve">P</w:t>
      </w:r>
      <w:r>
        <w:t xml:space="preserve">resentations</w:t>
      </w:r>
      <w:r>
        <w:t xml:space="preserve"> </w:t>
      </w:r>
      <w:r>
        <w:t xml:space="preserve">F</w:t>
      </w:r>
      <w:r>
        <w:t xml:space="preserve">rom a</w:t>
      </w:r>
      <w:r>
        <w:t xml:space="preserve"> </w:t>
      </w:r>
      <w:r>
        <w:t xml:space="preserve">S</w:t>
      </w:r>
      <w:r>
        <w:t xml:space="preserve">ingle</w:t>
      </w:r>
      <w:r>
        <w:t xml:space="preserve"> </w:t>
      </w:r>
      <w:r>
        <w:t xml:space="preserve">S</w:t>
      </w:r>
      <w:r>
        <w:t xml:space="preserve">ource.”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B</w:t>
      </w:r>
      <w:r>
        <w:rPr>
          <w:iCs/>
          <w:i/>
        </w:rPr>
        <w:t xml:space="preserve">eyond Static Papers: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ethinking How We Share Scientific Understanding in</w:t>
      </w:r>
      <w:r>
        <w:rPr>
          <w:iCs/>
          <w:i/>
        </w:rPr>
        <w:t xml:space="preserve"> </w:t>
      </w:r>
      <w:r>
        <w:rPr>
          <w:iCs/>
          <w:i/>
        </w:rPr>
        <w:t xml:space="preserve">ML</w:t>
      </w:r>
      <w:r>
        <w:rPr>
          <w:iCs/>
          <w:i/>
        </w:rPr>
        <w:t xml:space="preserve"> </w:t>
      </w:r>
      <w:r>
        <w:rPr>
          <w:iCs/>
          <w:i/>
        </w:rPr>
        <w:t xml:space="preserve">–</w:t>
      </w:r>
      <w:r>
        <w:rPr>
          <w:iCs/>
          <w:i/>
        </w:rPr>
        <w:t xml:space="preserve"> </w:t>
      </w:r>
      <w:r>
        <w:rPr>
          <w:iCs/>
          <w:i/>
        </w:rPr>
        <w:t xml:space="preserve">ICLR</w:t>
      </w:r>
      <w:r>
        <w:rPr>
          <w:iCs/>
          <w:i/>
        </w:rPr>
        <w:t xml:space="preserve"> </w:t>
      </w:r>
      <w:r>
        <w:rPr>
          <w:iCs/>
          <w:i/>
        </w:rPr>
        <w:t xml:space="preserve">2021 Workshop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https://doi.org/10.5281/zenodo.5106062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hyperlink" Id="rId46" Target="https://doi.org/10.5281/zenodo.51060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5281/zenodo.51060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creator>Miquel Perello-Nieto</dc:creator>
  <cp:keywords/>
  <dcterms:created xsi:type="dcterms:W3CDTF">2023-03-29T11:51:04Z</dcterms:created>
  <dcterms:modified xsi:type="dcterms:W3CDTF">2023-03-29T11:51:04Z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3/29/23</vt:lpwstr>
  </property>
  <property fmtid="{D5CDD505-2E9C-101B-9397-08002B2CF9AE}" pid="7" name="download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