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3CCD3BC2" w:rsidR="003739D1" w:rsidRDefault="00A975F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commentReference w:id="1"/>
      </w:r>
      <w:bookmarkStart w:id="2" w:name="_GoBack"/>
      <w:bookmarkEnd w:id="2"/>
      <w:r w:rsidR="008E76E8"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BB60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36.75pt">
            <v:imagedata r:id="rId13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324CF8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5" type="#_x0000_t75" style="width:378pt;height:232.5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324CF8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6" type="#_x0000_t75" style="width:370.5pt;height:228.75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9:58:00Z" w:initials="A">
    <w:p w14:paraId="52A07672" w14:textId="41FC59BD" w:rsidR="004371FF" w:rsidRPr="00235334" w:rsidRDefault="00A975FE" w:rsidP="004371FF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WaveguideBuilder</w:t>
      </w:r>
      <w:proofErr w:type="spellEnd"/>
      <w:r w:rsidRPr="000515C2">
        <w:t xml:space="preserve"> – </w:t>
      </w:r>
      <w:r>
        <w:t>передача параметров</w:t>
      </w:r>
      <w:r w:rsidR="000515C2" w:rsidRPr="000515C2">
        <w:t xml:space="preserve">? </w:t>
      </w:r>
    </w:p>
    <w:p w14:paraId="327E1237" w14:textId="1C63BBDE" w:rsidR="000515C2" w:rsidRPr="00235334" w:rsidRDefault="000515C2">
      <w:pPr>
        <w:pStyle w:val="ae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5E893" w14:textId="77777777" w:rsidR="00C97BD0" w:rsidRDefault="00C97BD0" w:rsidP="004D626C">
      <w:pPr>
        <w:spacing w:after="0" w:line="240" w:lineRule="auto"/>
      </w:pPr>
      <w:r>
        <w:separator/>
      </w:r>
    </w:p>
  </w:endnote>
  <w:endnote w:type="continuationSeparator" w:id="0">
    <w:p w14:paraId="56ADE344" w14:textId="77777777" w:rsidR="00C97BD0" w:rsidRDefault="00C97BD0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18780" w14:textId="77777777" w:rsidR="00C97BD0" w:rsidRDefault="00C97BD0" w:rsidP="004D626C">
      <w:pPr>
        <w:spacing w:after="0" w:line="240" w:lineRule="auto"/>
      </w:pPr>
      <w:r>
        <w:separator/>
      </w:r>
    </w:p>
  </w:footnote>
  <w:footnote w:type="continuationSeparator" w:id="0">
    <w:p w14:paraId="4C8A3558" w14:textId="77777777" w:rsidR="00C97BD0" w:rsidRDefault="00C97BD0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76E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B4488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232</cp:revision>
  <cp:lastPrinted>2021-09-18T07:59:00Z</cp:lastPrinted>
  <dcterms:created xsi:type="dcterms:W3CDTF">2020-10-23T05:03:00Z</dcterms:created>
  <dcterms:modified xsi:type="dcterms:W3CDTF">2021-11-12T10:58:00Z</dcterms:modified>
</cp:coreProperties>
</file>