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BD40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BD405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BD405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BD40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BD40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BD405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BD405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BD40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</w:t>
            </w:r>
            <w:proofErr w:type="gramEnd"/>
            <w:r w:rsidRPr="00581938">
              <w:t>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>Autodesk Inventor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>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BD4059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621325AF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>Длина шлица (</w:t>
      </w:r>
      <w:r w:rsidR="00D51D76" w:rsidRPr="00D51D76">
        <w:t>10</w:t>
      </w:r>
      <w:r>
        <w:t xml:space="preserve"> – 1</w:t>
      </w:r>
      <w:r w:rsidR="00D51D76" w:rsidRPr="00D51D76">
        <w:t>3</w:t>
      </w:r>
      <w:r>
        <w:t xml:space="preserve">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proofErr w:type="gramStart"/>
      <w:r>
        <w:t>мм</w:t>
      </w:r>
      <w:r w:rsidRPr="00B07651">
        <w:t>;</w:t>
      </w:r>
      <w:proofErr w:type="gramEnd"/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4467F499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Start w:id="8"/>
      <w:commentRangeEnd w:id="7"/>
      <w:r>
        <w:rPr>
          <w:rStyle w:val="af4"/>
        </w:rPr>
        <w:commentReference w:id="7"/>
      </w:r>
      <w:commentRangeEnd w:id="8"/>
      <w:r w:rsidR="008D2CA0">
        <w:rPr>
          <w:rStyle w:val="af4"/>
        </w:rPr>
        <w:commentReference w:id="8"/>
      </w:r>
      <w:r w:rsidR="006B7D7A">
        <w:rPr>
          <w:noProof/>
        </w:rPr>
        <w:drawing>
          <wp:inline distT="0" distB="0" distL="0" distR="0" wp14:anchorId="631F5936" wp14:editId="1C9774DC">
            <wp:extent cx="6500277" cy="5011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5056" cy="50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</w:t>
      </w:r>
      <w:bookmarkStart w:id="10" w:name="_Toc116312586"/>
      <w:r w:rsidR="009078E8">
        <w:rPr>
          <w:szCs w:val="28"/>
        </w:rPr>
        <w:t>в</w:t>
      </w:r>
      <w:commentRangeEnd w:id="9"/>
      <w:r w:rsidR="006D7C7A">
        <w:rPr>
          <w:rStyle w:val="af4"/>
        </w:rPr>
        <w:commentReference w:id="9"/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noProof/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78344E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78344E">
        <w:rPr>
          <w:noProof/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2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3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Фаулер.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624CCD8F" w14:textId="77777777" w:rsidR="00AF5200" w:rsidRDefault="00AF5200" w:rsidP="00727D1B">
      <w:pPr>
        <w:pStyle w:val="af5"/>
      </w:pPr>
      <w:r>
        <w:rPr>
          <w:rStyle w:val="af4"/>
        </w:rPr>
        <w:annotationRef/>
      </w:r>
      <w:r w:rsidR="00727D1B">
        <w:rPr>
          <w:lang w:val="en-US"/>
        </w:rPr>
        <w:t>IApi</w:t>
      </w:r>
      <w:r w:rsidR="00727D1B" w:rsidRPr="00727D1B">
        <w:t xml:space="preserve"> – </w:t>
      </w:r>
      <w:r w:rsidR="00727D1B">
        <w:t xml:space="preserve">что </w:t>
      </w:r>
      <w:r w:rsidR="00727D1B">
        <w:rPr>
          <w:lang w:val="en-US"/>
        </w:rPr>
        <w:t>API</w:t>
      </w:r>
      <w:r w:rsidR="00727D1B" w:rsidRPr="00727D1B">
        <w:t xml:space="preserve"> </w:t>
      </w:r>
      <w:r w:rsidR="00727D1B">
        <w:t xml:space="preserve">аббревиатура значит знаешь и что значит приставка </w:t>
      </w:r>
      <w:r w:rsidR="00727D1B">
        <w:rPr>
          <w:lang w:val="en-US"/>
        </w:rPr>
        <w:t>I</w:t>
      </w:r>
      <w:r w:rsidR="00727D1B" w:rsidRPr="00727D1B">
        <w:t xml:space="preserve"> </w:t>
      </w:r>
      <w:r w:rsidR="00727D1B">
        <w:t>у интерфейсов?</w:t>
      </w:r>
      <w:r w:rsidR="00727D1B">
        <w:br/>
      </w:r>
    </w:p>
    <w:p w14:paraId="28CFA100" w14:textId="77777777" w:rsidR="00727D1B" w:rsidRDefault="00727D1B" w:rsidP="00727D1B">
      <w:pPr>
        <w:pStyle w:val="af5"/>
      </w:pPr>
      <w:r>
        <w:t xml:space="preserve">Как </w:t>
      </w:r>
      <w:r>
        <w:rPr>
          <w:lang w:val="en-US"/>
        </w:rPr>
        <w:t>ScrewBuilder</w:t>
      </w:r>
      <w:r w:rsidRPr="00D51D76">
        <w:t xml:space="preserve"> </w:t>
      </w:r>
      <w:r>
        <w:t xml:space="preserve">использует </w:t>
      </w:r>
      <w:r>
        <w:rPr>
          <w:lang w:val="en-US"/>
        </w:rPr>
        <w:t>ISketch</w:t>
      </w:r>
      <w:r w:rsidRPr="00D51D76">
        <w:t>?</w:t>
      </w:r>
      <w:r w:rsidRPr="00D51D76">
        <w:br/>
      </w:r>
      <w:r w:rsidRPr="00D51D76">
        <w:br/>
      </w:r>
      <w:r>
        <w:t xml:space="preserve">Для чего вообще </w:t>
      </w:r>
      <w:r w:rsidR="005526BA">
        <w:t xml:space="preserve">интерфейс </w:t>
      </w:r>
      <w:r w:rsidR="005526BA">
        <w:rPr>
          <w:lang w:val="en-US"/>
        </w:rPr>
        <w:t>IApi</w:t>
      </w:r>
      <w:r w:rsidR="005526BA" w:rsidRPr="005526BA">
        <w:t xml:space="preserve"> </w:t>
      </w:r>
      <w:r w:rsidR="005526BA">
        <w:t xml:space="preserve">и почему у него именно эти методы вынесены? </w:t>
      </w:r>
      <w:proofErr w:type="gramStart"/>
      <w:r w:rsidR="005526BA">
        <w:t>Предположу</w:t>
      </w:r>
      <w:proofErr w:type="gramEnd"/>
      <w:r w:rsidR="005526BA">
        <w:t xml:space="preserve"> что для соблюдения разделения слоев </w:t>
      </w:r>
      <w:r w:rsidR="005526BA">
        <w:rPr>
          <w:lang w:val="en-US"/>
        </w:rPr>
        <w:t>MVVM</w:t>
      </w:r>
      <w:r w:rsidR="005526BA" w:rsidRPr="005526BA">
        <w:t xml:space="preserve">. </w:t>
      </w:r>
      <w:r w:rsidR="005526BA">
        <w:t xml:space="preserve">Если так, то все равно не вижу необходимости, </w:t>
      </w:r>
      <w:r w:rsidR="005526BA">
        <w:rPr>
          <w:lang w:val="en-US"/>
        </w:rPr>
        <w:t>Wrapper</w:t>
      </w:r>
      <w:r w:rsidR="005526BA" w:rsidRPr="005526BA">
        <w:t xml:space="preserve"> </w:t>
      </w:r>
      <w:r w:rsidR="005526BA">
        <w:t xml:space="preserve">может быть инкапсулирован как приватное поле в </w:t>
      </w:r>
      <w:r w:rsidR="005526BA">
        <w:rPr>
          <w:lang w:val="en-US"/>
        </w:rPr>
        <w:t>Buidler</w:t>
      </w:r>
    </w:p>
    <w:p w14:paraId="45EE4175" w14:textId="77777777" w:rsidR="005526BA" w:rsidRDefault="005526BA" w:rsidP="00727D1B">
      <w:pPr>
        <w:pStyle w:val="af5"/>
      </w:pPr>
    </w:p>
    <w:p w14:paraId="694B8057" w14:textId="77777777" w:rsidR="005526BA" w:rsidRDefault="005526BA" w:rsidP="00727D1B">
      <w:pPr>
        <w:pStyle w:val="af5"/>
      </w:pPr>
      <w:r>
        <w:t xml:space="preserve">Опять же для чего </w:t>
      </w:r>
      <w:r>
        <w:rPr>
          <w:lang w:val="en-US"/>
        </w:rPr>
        <w:t>ISketch</w:t>
      </w:r>
      <w:r w:rsidRPr="005526BA">
        <w:t>?</w:t>
      </w:r>
    </w:p>
    <w:p w14:paraId="3A6E1F7E" w14:textId="77777777" w:rsidR="005526BA" w:rsidRDefault="005526BA" w:rsidP="00727D1B">
      <w:pPr>
        <w:pStyle w:val="af5"/>
      </w:pPr>
    </w:p>
    <w:p w14:paraId="473B94A1" w14:textId="77777777" w:rsidR="005526BA" w:rsidRPr="004772C4" w:rsidRDefault="005526BA" w:rsidP="00727D1B">
      <w:pPr>
        <w:pStyle w:val="af5"/>
      </w:pPr>
      <w:r>
        <w:t xml:space="preserve">Если класс называется </w:t>
      </w:r>
      <w:proofErr w:type="gramStart"/>
      <w:r>
        <w:rPr>
          <w:lang w:val="en-US"/>
        </w:rPr>
        <w:t>KompasSketch</w:t>
      </w:r>
      <w:proofErr w:type="gramEnd"/>
      <w:r w:rsidRPr="005526BA">
        <w:t xml:space="preserve"> </w:t>
      </w:r>
      <w:r>
        <w:t xml:space="preserve">то так его в других классах и указывать, откуда взялся еще другой класс </w:t>
      </w:r>
      <w:r>
        <w:rPr>
          <w:lang w:val="en-US"/>
        </w:rPr>
        <w:t>Sketch</w:t>
      </w:r>
      <w:r w:rsidRPr="004772C4">
        <w:br/>
      </w:r>
    </w:p>
    <w:p w14:paraId="5B27D1F0" w14:textId="51030473" w:rsidR="005526BA" w:rsidRPr="00D51D76" w:rsidRDefault="005526BA" w:rsidP="00727D1B">
      <w:pPr>
        <w:pStyle w:val="af5"/>
      </w:pPr>
      <w:r>
        <w:t xml:space="preserve">Почему </w:t>
      </w:r>
      <w:r w:rsidR="008D2CA0">
        <w:rPr>
          <w:lang w:val="en-US"/>
        </w:rPr>
        <w:t>BuildScrew</w:t>
      </w:r>
      <w:r w:rsidR="008D2CA0" w:rsidRPr="008D2CA0">
        <w:t xml:space="preserve"> </w:t>
      </w:r>
      <w:r w:rsidR="008D2CA0">
        <w:t>использует какой</w:t>
      </w:r>
      <w:r w:rsidR="008D2CA0" w:rsidRPr="008D2CA0">
        <w:t>-</w:t>
      </w:r>
      <w:r w:rsidR="008D2CA0">
        <w:t xml:space="preserve">то класс </w:t>
      </w:r>
      <w:r w:rsidR="008D2CA0">
        <w:rPr>
          <w:lang w:val="en-US"/>
        </w:rPr>
        <w:t>Srew</w:t>
      </w:r>
      <w:r w:rsidR="008D2CA0" w:rsidRPr="008D2CA0">
        <w:t>(!)</w:t>
      </w:r>
      <w:r w:rsidR="008D2CA0">
        <w:rPr>
          <w:lang w:val="en-US"/>
        </w:rPr>
        <w:t>Parameters</w:t>
      </w:r>
      <w:r w:rsidR="008D2CA0" w:rsidRPr="008D2CA0">
        <w:t xml:space="preserve">, </w:t>
      </w:r>
      <w:r w:rsidR="008D2CA0">
        <w:t xml:space="preserve">но его нет на диаграмме? И почему у </w:t>
      </w:r>
      <w:r w:rsidR="008D2CA0">
        <w:rPr>
          <w:lang w:val="en-US"/>
        </w:rPr>
        <w:t>ScrewBuilder</w:t>
      </w:r>
      <w:r w:rsidR="008D2CA0" w:rsidRPr="00D51D76">
        <w:t xml:space="preserve"> </w:t>
      </w:r>
      <w:r w:rsidR="008D2CA0">
        <w:t xml:space="preserve">связь реализации со </w:t>
      </w:r>
      <w:r w:rsidR="008D2CA0">
        <w:rPr>
          <w:lang w:val="en-US"/>
        </w:rPr>
        <w:t>ScrewParameter</w:t>
      </w:r>
      <w:r w:rsidR="008D2CA0" w:rsidRPr="00D51D76">
        <w:t>?</w:t>
      </w:r>
      <w:r w:rsidR="008D2CA0" w:rsidRPr="00D51D76">
        <w:br/>
      </w:r>
      <w:r w:rsidR="008D2CA0" w:rsidRPr="00D51D76">
        <w:br/>
      </w:r>
      <w:r w:rsidR="008D2CA0">
        <w:t xml:space="preserve">Где слой </w:t>
      </w:r>
      <w:r w:rsidR="008D2CA0">
        <w:rPr>
          <w:lang w:val="en-US"/>
        </w:rPr>
        <w:t>VM</w:t>
      </w:r>
      <w:r w:rsidR="008D2CA0" w:rsidRPr="00D51D76">
        <w:t xml:space="preserve"> </w:t>
      </w:r>
      <w:r w:rsidR="008D2CA0">
        <w:t xml:space="preserve">если реализация планируется на </w:t>
      </w:r>
      <w:r w:rsidR="008D2CA0">
        <w:rPr>
          <w:lang w:val="en-US"/>
        </w:rPr>
        <w:t>WPF</w:t>
      </w:r>
      <w:r w:rsidR="00EF4BE1" w:rsidRPr="00D51D76">
        <w:t>?</w:t>
      </w:r>
    </w:p>
  </w:comment>
  <w:comment w:id="8" w:author="Николай А. Набережнев" w:date="2022-11-15T10:50:00Z" w:initials="НАН">
    <w:p w14:paraId="2722B45D" w14:textId="796E283A" w:rsidR="008D2CA0" w:rsidRDefault="008D2CA0">
      <w:pPr>
        <w:pStyle w:val="af5"/>
      </w:pPr>
      <w:r>
        <w:rPr>
          <w:rStyle w:val="af4"/>
        </w:rPr>
        <w:annotationRef/>
      </w:r>
    </w:p>
  </w:comment>
  <w:comment w:id="9" w:author="Николай А. Набережнев" w:date="2022-11-15T10:54:00Z" w:initials="НАН">
    <w:p w14:paraId="5B371659" w14:textId="578B2BED" w:rsidR="006D7C7A" w:rsidRPr="006D7C7A" w:rsidRDefault="006D7C7A">
      <w:pPr>
        <w:pStyle w:val="af5"/>
      </w:pPr>
      <w:r>
        <w:rPr>
          <w:rStyle w:val="af4"/>
        </w:rPr>
        <w:annotationRef/>
      </w:r>
      <w:r>
        <w:t>Колонтитул с Томск 2022 забыли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722B45D" w15:paraIdParent="5B27D1F0" w15:done="0"/>
  <w15:commentEx w15:paraId="5B37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DED59" w16cex:dateUtc="2022-11-15T03:50:00Z"/>
  <w16cex:commentExtensible w16cex:durableId="271DEE7B" w16cex:dateUtc="2022-11-15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722B45D" w16cid:durableId="271DED59"/>
  <w16cid:commentId w16cid:paraId="5B371659" w16cid:durableId="271DE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68FA" w14:textId="77777777" w:rsidR="00BD4059" w:rsidRDefault="00BD4059" w:rsidP="00DD4073">
      <w:pPr>
        <w:spacing w:after="0" w:line="240" w:lineRule="auto"/>
      </w:pPr>
      <w:r>
        <w:separator/>
      </w:r>
    </w:p>
  </w:endnote>
  <w:endnote w:type="continuationSeparator" w:id="0">
    <w:p w14:paraId="34C39E08" w14:textId="77777777" w:rsidR="00BD4059" w:rsidRDefault="00BD4059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CD59" w14:textId="77777777" w:rsidR="00BD4059" w:rsidRDefault="00BD4059" w:rsidP="00DD4073">
      <w:pPr>
        <w:spacing w:after="0" w:line="240" w:lineRule="auto"/>
      </w:pPr>
      <w:r>
        <w:separator/>
      </w:r>
    </w:p>
  </w:footnote>
  <w:footnote w:type="continuationSeparator" w:id="0">
    <w:p w14:paraId="22955044" w14:textId="77777777" w:rsidR="00BD4059" w:rsidRDefault="00BD4059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43087"/>
    <w:rsid w:val="00082247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315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772C4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526BA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B7D7A"/>
    <w:rsid w:val="006C2035"/>
    <w:rsid w:val="006D16EE"/>
    <w:rsid w:val="006D7C7A"/>
    <w:rsid w:val="006E10D9"/>
    <w:rsid w:val="006E3157"/>
    <w:rsid w:val="006F5C05"/>
    <w:rsid w:val="006F5E12"/>
    <w:rsid w:val="007026E0"/>
    <w:rsid w:val="00702F38"/>
    <w:rsid w:val="00715BA2"/>
    <w:rsid w:val="00727D1B"/>
    <w:rsid w:val="0073496D"/>
    <w:rsid w:val="00735228"/>
    <w:rsid w:val="00737696"/>
    <w:rsid w:val="00765A09"/>
    <w:rsid w:val="007753E6"/>
    <w:rsid w:val="0078344E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2CA0"/>
    <w:rsid w:val="008D469E"/>
    <w:rsid w:val="008E1266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467A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D4059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51D76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EF4BE1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autocad-lessons.com/biblioteki-gostov-v-autodesk-inven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5.png"/><Relationship Id="rId35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2709-FF90-47BD-905A-3C13F66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13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Gleb B</cp:lastModifiedBy>
  <cp:revision>177</cp:revision>
  <cp:lastPrinted>2021-11-12T06:44:00Z</cp:lastPrinted>
  <dcterms:created xsi:type="dcterms:W3CDTF">2020-11-14T06:24:00Z</dcterms:created>
  <dcterms:modified xsi:type="dcterms:W3CDTF">2022-11-21T07:57:00Z</dcterms:modified>
</cp:coreProperties>
</file>