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5941" w14:textId="77777777" w:rsidR="002C0FDE" w:rsidRPr="0029600A" w:rsidRDefault="002C0FDE" w:rsidP="002C0FDE">
      <w:pPr>
        <w:pStyle w:val="a3"/>
        <w:spacing w:before="0" w:beforeAutospacing="0" w:after="0" w:afterAutospacing="0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</w:rPr>
        <w:t>УДК 539.421</w:t>
      </w:r>
    </w:p>
    <w:p w14:paraId="5F85FDFC" w14:textId="77777777" w:rsidR="002C0FDE" w:rsidRPr="0029600A" w:rsidRDefault="002C0FDE" w:rsidP="002C0FDE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29600A">
        <w:rPr>
          <w:b/>
          <w:bCs/>
          <w:color w:val="000000" w:themeColor="text1"/>
          <w:sz w:val="20"/>
          <w:szCs w:val="20"/>
          <w:shd w:val="clear" w:color="auto" w:fill="FFFFFF"/>
        </w:rPr>
        <w:t>МОДЕЛИРОВАНИЕ РАСПРОСТРАНЕНИЯ ТРЕЩИН В КЕРАМИКЕ ИЗ ГИДРОКСИАПАТИТА</w:t>
      </w:r>
    </w:p>
    <w:p w14:paraId="326D918D" w14:textId="197D224D" w:rsidR="002C0FDE" w:rsidRPr="0029600A" w:rsidRDefault="002C0FDE" w:rsidP="002C0FDE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Г.В. Белоус</w:t>
      </w:r>
      <w:r w:rsidR="00D2773A"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, Д.Д. Скоробогатов,</w:t>
      </w:r>
      <w:r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 студент</w:t>
      </w:r>
      <w:r w:rsidR="00D2773A"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ы</w:t>
      </w:r>
      <w:r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 каф.</w:t>
      </w:r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КСУП, </w:t>
      </w:r>
    </w:p>
    <w:p w14:paraId="3075A25E" w14:textId="77777777" w:rsidR="002C0FDE" w:rsidRPr="0029600A" w:rsidRDefault="002C0FDE" w:rsidP="002C0FDE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29600A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А.Е. Резванова, Институт физики прочности и материаловедения Сибирского отделения Российской академии наук,</w:t>
      </w:r>
    </w:p>
    <w:p w14:paraId="2BE2C951" w14:textId="660C7094" w:rsidR="002C0FDE" w:rsidRPr="0029600A" w:rsidRDefault="002C0FDE" w:rsidP="002C0FDE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Научный руководитель: </w:t>
      </w:r>
      <w:proofErr w:type="gramStart"/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А.Н.</w:t>
      </w:r>
      <w:proofErr w:type="gramEnd"/>
      <w:r w:rsidR="007B3F1B"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Пономарев, к.ф.-м.н., доцент каф.</w:t>
      </w:r>
      <w:r w:rsidR="00005AF5"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КСУП.</w:t>
      </w:r>
    </w:p>
    <w:p w14:paraId="7E4E3480" w14:textId="08588CA4" w:rsidR="002C0FDE" w:rsidRPr="0029600A" w:rsidRDefault="002C0FDE" w:rsidP="00005AF5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proofErr w:type="spellStart"/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г.Томск</w:t>
      </w:r>
      <w:proofErr w:type="spellEnd"/>
      <w:r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, ТУСУР,</w:t>
      </w:r>
      <w:r w:rsidR="00421F99"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421F99" w:rsidRPr="0029600A">
        <w:rPr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peremichka</w:t>
      </w:r>
      <w:proofErr w:type="spellEnd"/>
      <w:r w:rsidR="00421F99"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256@</w:t>
      </w:r>
      <w:proofErr w:type="spellStart"/>
      <w:r w:rsidR="00421F99" w:rsidRPr="0029600A">
        <w:rPr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gmail</w:t>
      </w:r>
      <w:proofErr w:type="spellEnd"/>
      <w:r w:rsidR="00421F99" w:rsidRPr="0029600A">
        <w:rPr>
          <w:i/>
          <w:iCs/>
          <w:color w:val="000000" w:themeColor="text1"/>
          <w:sz w:val="20"/>
          <w:szCs w:val="20"/>
          <w:shd w:val="clear" w:color="auto" w:fill="FFFFFF"/>
        </w:rPr>
        <w:t>.</w:t>
      </w:r>
      <w:r w:rsidR="00421F99" w:rsidRPr="0029600A">
        <w:rPr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com</w:t>
      </w:r>
    </w:p>
    <w:p w14:paraId="194103B8" w14:textId="77777777" w:rsidR="002C0FDE" w:rsidRPr="00265D82" w:rsidRDefault="002C0FDE" w:rsidP="00103F97">
      <w:pPr>
        <w:pStyle w:val="a3"/>
        <w:spacing w:after="0" w:afterAutospacing="0"/>
        <w:ind w:left="397"/>
        <w:jc w:val="both"/>
        <w:rPr>
          <w:color w:val="000000" w:themeColor="text1"/>
          <w:sz w:val="18"/>
          <w:szCs w:val="18"/>
        </w:rPr>
      </w:pPr>
      <w:r w:rsidRPr="00265D82">
        <w:rPr>
          <w:color w:val="000000" w:themeColor="text1"/>
          <w:sz w:val="18"/>
          <w:szCs w:val="18"/>
          <w:shd w:val="clear" w:color="auto" w:fill="FFFFFF"/>
        </w:rPr>
        <w:t xml:space="preserve">Построена модель пористого образца керамики из гидроксиапатита с использованием программного пакета </w:t>
      </w:r>
      <w:proofErr w:type="spellStart"/>
      <w:r w:rsidRPr="00265D82">
        <w:rPr>
          <w:color w:val="000000" w:themeColor="text1"/>
          <w:sz w:val="18"/>
          <w:szCs w:val="18"/>
          <w:shd w:val="clear" w:color="auto" w:fill="FFFFFF"/>
        </w:rPr>
        <w:t>Comsol</w:t>
      </w:r>
      <w:proofErr w:type="spellEnd"/>
      <w:r w:rsidRPr="00265D82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265D82">
        <w:rPr>
          <w:color w:val="000000" w:themeColor="text1"/>
          <w:sz w:val="18"/>
          <w:szCs w:val="18"/>
          <w:shd w:val="clear" w:color="auto" w:fill="FFFFFF"/>
        </w:rPr>
        <w:t>Multiphysics</w:t>
      </w:r>
      <w:proofErr w:type="spellEnd"/>
      <w:r w:rsidRPr="00265D82">
        <w:rPr>
          <w:color w:val="000000" w:themeColor="text1"/>
          <w:sz w:val="18"/>
          <w:szCs w:val="18"/>
          <w:shd w:val="clear" w:color="auto" w:fill="FFFFFF"/>
        </w:rPr>
        <w:t>. Проведено моделирование распространения трещин в керамике, получаемых под действием внешней нагрузки. </w:t>
      </w:r>
    </w:p>
    <w:p w14:paraId="6E386F00" w14:textId="77777777" w:rsidR="002C0FDE" w:rsidRPr="00265D82" w:rsidRDefault="002C0FDE" w:rsidP="00103F97">
      <w:pPr>
        <w:pStyle w:val="a3"/>
        <w:spacing w:before="0" w:beforeAutospacing="0" w:after="240" w:afterAutospacing="0"/>
        <w:ind w:left="397"/>
        <w:jc w:val="both"/>
        <w:rPr>
          <w:color w:val="000000" w:themeColor="text1"/>
          <w:sz w:val="18"/>
          <w:szCs w:val="18"/>
        </w:rPr>
      </w:pPr>
      <w:r w:rsidRPr="00265D82">
        <w:rPr>
          <w:b/>
          <w:bCs/>
          <w:color w:val="000000" w:themeColor="text1"/>
          <w:sz w:val="18"/>
          <w:szCs w:val="18"/>
          <w:shd w:val="clear" w:color="auto" w:fill="FFFFFF"/>
        </w:rPr>
        <w:t xml:space="preserve">Ключевые слова: </w:t>
      </w:r>
      <w:r w:rsidRPr="00265D82">
        <w:rPr>
          <w:color w:val="000000" w:themeColor="text1"/>
          <w:sz w:val="18"/>
          <w:szCs w:val="18"/>
          <w:shd w:val="clear" w:color="auto" w:fill="FFFFFF"/>
        </w:rPr>
        <w:t xml:space="preserve">Гидроксиапатит, метод конечных элементов, моделирование, COMSOL </w:t>
      </w:r>
      <w:proofErr w:type="spellStart"/>
      <w:r w:rsidRPr="00265D82">
        <w:rPr>
          <w:color w:val="000000" w:themeColor="text1"/>
          <w:sz w:val="18"/>
          <w:szCs w:val="18"/>
          <w:shd w:val="clear" w:color="auto" w:fill="FFFFFF"/>
        </w:rPr>
        <w:t>Multiphysics</w:t>
      </w:r>
      <w:proofErr w:type="spellEnd"/>
      <w:r w:rsidRPr="00265D82">
        <w:rPr>
          <w:color w:val="000000" w:themeColor="text1"/>
          <w:sz w:val="18"/>
          <w:szCs w:val="18"/>
          <w:shd w:val="clear" w:color="auto" w:fill="FFFFFF"/>
        </w:rPr>
        <w:t>.</w:t>
      </w:r>
    </w:p>
    <w:p w14:paraId="060745F2" w14:textId="77777777" w:rsidR="002C0FDE" w:rsidRPr="0029600A" w:rsidRDefault="002C0FDE" w:rsidP="002C0FDE">
      <w:pPr>
        <w:pStyle w:val="a3"/>
        <w:spacing w:before="240" w:beforeAutospacing="0" w:after="240" w:afterAutospacing="0"/>
        <w:ind w:firstLine="397"/>
        <w:contextualSpacing/>
        <w:jc w:val="both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  <w:shd w:val="clear" w:color="auto" w:fill="FFFFFF"/>
        </w:rPr>
        <w:t>Гидроксиапатит (ГА) является основной минеральной составляющей костных тканей, поскольку имеет близкий с костью фазовый состав [1]. Этот материал широко используется в медицинском материаловедении для реконструкции костных тканей и замещения костных дефектов.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[2]. Но основным недостатком имплантатов из ГА является низкая вязкость разрушения и износостойкость, что ограничивает использование в ортопедическом применении. Однако механические свойства ГА могут быть улучшены за счет усиления некоторыми вторичными материалами, например углеродными нанотрубками (УНТ</w:t>
      </w:r>
      <w:proofErr w:type="gramStart"/>
      <w:r w:rsidRPr="0029600A">
        <w:rPr>
          <w:color w:val="000000" w:themeColor="text1"/>
          <w:sz w:val="20"/>
          <w:szCs w:val="20"/>
          <w:shd w:val="clear" w:color="auto" w:fill="FFFFFF"/>
        </w:rPr>
        <w:t>),  имеющими</w:t>
      </w:r>
      <w:proofErr w:type="gram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высокую прочность [3].</w:t>
      </w:r>
    </w:p>
    <w:p w14:paraId="6012FA9A" w14:textId="77777777" w:rsidR="002C0FDE" w:rsidRPr="0029600A" w:rsidRDefault="002C0FDE" w:rsidP="002C0FDE">
      <w:pPr>
        <w:pStyle w:val="a3"/>
        <w:spacing w:before="240" w:beforeAutospacing="0" w:after="240" w:afterAutospacing="0"/>
        <w:ind w:firstLine="397"/>
        <w:contextualSpacing/>
        <w:jc w:val="both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В работе [4] была получена композитная керамика на основе ГА с добавлением </w:t>
      </w:r>
      <w:proofErr w:type="spellStart"/>
      <w:r w:rsidRPr="0029600A">
        <w:rPr>
          <w:color w:val="000000" w:themeColor="text1"/>
          <w:sz w:val="20"/>
          <w:szCs w:val="20"/>
          <w:shd w:val="clear" w:color="auto" w:fill="FFFFFF"/>
        </w:rPr>
        <w:t>многостенных</w:t>
      </w:r>
      <w:proofErr w:type="spell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УНТ, которые использовались в качестве упрочняющих добавок. Показано, что добавление нанотрубок в содержании до 0.5 </w:t>
      </w:r>
      <w:proofErr w:type="gramStart"/>
      <w:r w:rsidRPr="0029600A">
        <w:rPr>
          <w:color w:val="000000" w:themeColor="text1"/>
          <w:sz w:val="20"/>
          <w:szCs w:val="20"/>
          <w:shd w:val="clear" w:color="auto" w:fill="FFFFFF"/>
        </w:rPr>
        <w:t>масс.%</w:t>
      </w:r>
      <w:proofErr w:type="gram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позволяют повысить прочность и твердость керамики ГА, однако, </w:t>
      </w:r>
      <w:proofErr w:type="spellStart"/>
      <w:r w:rsidRPr="0029600A">
        <w:rPr>
          <w:color w:val="000000" w:themeColor="text1"/>
          <w:sz w:val="20"/>
          <w:szCs w:val="20"/>
          <w:shd w:val="clear" w:color="auto" w:fill="FFFFFF"/>
        </w:rPr>
        <w:t>трещиностойкость</w:t>
      </w:r>
      <w:proofErr w:type="spell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повышают незначительно. Для определения оптимальных прочностных характеристик таких композитов, необходимо создание большего количества образцов с варьированием концентраций нанотрубок.</w:t>
      </w:r>
      <w:r w:rsidRPr="0029600A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9600A">
        <w:rPr>
          <w:color w:val="000000" w:themeColor="text1"/>
          <w:sz w:val="20"/>
          <w:szCs w:val="20"/>
          <w:shd w:val="clear" w:color="auto" w:fill="FFFFFF"/>
        </w:rPr>
        <w:t>Однако, этот процесс может быть затруднительным с экспериментальной точки зрения. Эффективнее сначала построить модель материала и провести испытания механических свойств полученной модели, которую можно использовать в качестве дополнительного инструмента, позволяющего снизить количество проводимых экспериментальных процедур.</w:t>
      </w:r>
    </w:p>
    <w:p w14:paraId="5324CDCC" w14:textId="0D0BC615" w:rsidR="002C0FDE" w:rsidRPr="0029600A" w:rsidRDefault="002C0FDE" w:rsidP="002C0FDE">
      <w:pPr>
        <w:pStyle w:val="a3"/>
        <w:spacing w:before="240" w:beforeAutospacing="0" w:after="240" w:afterAutospacing="0"/>
        <w:ind w:firstLine="397"/>
        <w:contextualSpacing/>
        <w:jc w:val="both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  <w:shd w:val="clear" w:color="auto" w:fill="FFFFFF"/>
        </w:rPr>
        <w:lastRenderedPageBreak/>
        <w:t>Для создания модели керамики ГА с добавками МУНТ необходимо решить целый комплекс задач по моделированию структуры композитного материала, а также исследуемых физико-механических процессов.</w:t>
      </w:r>
    </w:p>
    <w:p w14:paraId="45F7DB82" w14:textId="1C7E0A1D" w:rsidR="002C0FDE" w:rsidRPr="0029600A" w:rsidRDefault="002C0FDE" w:rsidP="002C0FDE">
      <w:pPr>
        <w:pStyle w:val="a3"/>
        <w:spacing w:before="240" w:beforeAutospacing="0" w:after="240" w:afterAutospacing="0"/>
        <w:ind w:firstLine="397"/>
        <w:contextualSpacing/>
        <w:jc w:val="both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В рамках данной работы выполнено построение компьютерной модели керамического материала, состоящего из </w:t>
      </w:r>
      <w:proofErr w:type="spellStart"/>
      <w:r w:rsidRPr="0029600A">
        <w:rPr>
          <w:color w:val="000000" w:themeColor="text1"/>
          <w:sz w:val="20"/>
          <w:szCs w:val="20"/>
          <w:shd w:val="clear" w:color="auto" w:fill="FFFFFF"/>
        </w:rPr>
        <w:t>гидроксиапатитовой</w:t>
      </w:r>
      <w:proofErr w:type="spell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матрицы без добавления нанотрубок, а также моделирование процесса разрушения данной керамики, в частности, моделирование распространения трещин под воздействием внешних </w:t>
      </w:r>
      <w:proofErr w:type="gramStart"/>
      <w:r w:rsidRPr="0029600A">
        <w:rPr>
          <w:color w:val="000000" w:themeColor="text1"/>
          <w:sz w:val="20"/>
          <w:szCs w:val="20"/>
          <w:shd w:val="clear" w:color="auto" w:fill="FFFFFF"/>
        </w:rPr>
        <w:t>нагрузок,  в</w:t>
      </w:r>
      <w:proofErr w:type="gram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зависимости от количества содержащихся пор в образце, так как пористость оказывает влияние на </w:t>
      </w:r>
      <w:proofErr w:type="spellStart"/>
      <w:r w:rsidRPr="0029600A">
        <w:rPr>
          <w:color w:val="000000" w:themeColor="text1"/>
          <w:sz w:val="20"/>
          <w:szCs w:val="20"/>
          <w:shd w:val="clear" w:color="auto" w:fill="FFFFFF"/>
        </w:rPr>
        <w:t>трещиностойкость</w:t>
      </w:r>
      <w:proofErr w:type="spell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материала</w:t>
      </w:r>
      <w:r w:rsidR="00227D3B" w:rsidRPr="0029600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9600A">
        <w:rPr>
          <w:color w:val="000000" w:themeColor="text1"/>
          <w:sz w:val="20"/>
          <w:szCs w:val="20"/>
          <w:shd w:val="clear" w:color="auto" w:fill="FFFFFF"/>
        </w:rPr>
        <w:t>[5].</w:t>
      </w:r>
    </w:p>
    <w:p w14:paraId="50ACE03E" w14:textId="53A01188" w:rsidR="002C0FDE" w:rsidRPr="0029600A" w:rsidRDefault="002C0FDE" w:rsidP="002C0FDE">
      <w:pPr>
        <w:pStyle w:val="a3"/>
        <w:spacing w:before="240" w:beforeAutospacing="0" w:after="240" w:afterAutospacing="0"/>
        <w:ind w:firstLine="397"/>
        <w:contextualSpacing/>
        <w:jc w:val="both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Моделирование было проведено в программном пакете COMSOL </w:t>
      </w:r>
      <w:proofErr w:type="spellStart"/>
      <w:r w:rsidRPr="0029600A">
        <w:rPr>
          <w:color w:val="000000" w:themeColor="text1"/>
          <w:sz w:val="20"/>
          <w:szCs w:val="20"/>
          <w:shd w:val="clear" w:color="auto" w:fill="FFFFFF"/>
        </w:rPr>
        <w:t>Multiphysics</w:t>
      </w:r>
      <w:proofErr w:type="spell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- программное обеспечение (ПО) для анализа конечных элементов, решения и моделирования различных задач физики и </w:t>
      </w:r>
      <w:proofErr w:type="spellStart"/>
      <w:r w:rsidRPr="0029600A">
        <w:rPr>
          <w:color w:val="000000" w:themeColor="text1"/>
          <w:sz w:val="20"/>
          <w:szCs w:val="20"/>
          <w:shd w:val="clear" w:color="auto" w:fill="FFFFFF"/>
        </w:rPr>
        <w:t>мультифизики</w:t>
      </w:r>
      <w:proofErr w:type="spellEnd"/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. В COMSOL анализ реализован с помощью метода конечных элементов (МКЭ), для некоторых задач также используется метод граничных элементов (МГЭ).  </w:t>
      </w:r>
      <w:r w:rsidR="00B175DE">
        <w:rPr>
          <w:color w:val="000000" w:themeColor="text1"/>
          <w:sz w:val="20"/>
          <w:szCs w:val="20"/>
          <w:shd w:val="clear" w:color="auto" w:fill="FFFFFF"/>
        </w:rPr>
        <w:t>ПО</w:t>
      </w:r>
      <w:r w:rsidRPr="0029600A">
        <w:rPr>
          <w:color w:val="000000" w:themeColor="text1"/>
          <w:sz w:val="20"/>
          <w:szCs w:val="20"/>
          <w:shd w:val="clear" w:color="auto" w:fill="FFFFFF"/>
        </w:rPr>
        <w:t>, использующее МКЭ, предоставляет широкий спектр возможностей моделирования для контроля сложности и точности анализа системы. Как правило, чем больше элементов в сетке, тем точнее решение дискретизированной задачи. Таким образом, можно увеличить концентрацию элементов в местах предполагаемой деформации или изгиба, или наоборот, уменьшить количество элементов для уменьшения вычислений. </w:t>
      </w:r>
    </w:p>
    <w:p w14:paraId="13239872" w14:textId="3C1B7019" w:rsidR="002C0FDE" w:rsidRPr="0029600A" w:rsidRDefault="00B175DE" w:rsidP="002C0FDE">
      <w:pPr>
        <w:pStyle w:val="a3"/>
        <w:spacing w:before="240" w:beforeAutospacing="0" w:after="240" w:afterAutospacing="0"/>
        <w:ind w:firstLine="397"/>
        <w:contextualSpacing/>
        <w:jc w:val="both"/>
        <w:rPr>
          <w:color w:val="000000" w:themeColor="text1"/>
        </w:rPr>
      </w:pPr>
      <w:r>
        <w:rPr>
          <w:color w:val="000000" w:themeColor="text1"/>
          <w:sz w:val="20"/>
          <w:szCs w:val="20"/>
          <w:shd w:val="clear" w:color="auto" w:fill="FFFFFF"/>
        </w:rPr>
        <w:t>В данной работе б</w:t>
      </w:r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ыла построена 2D модель образца для снижения времени расчетов. Структура образца задана с использованием встроенных инструментов задания геометрии, с помощью которых были определены габариты образца, количество, размер и расположение пор.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ней. В модели образца был задан материал Ca</w:t>
      </w:r>
      <w:r w:rsidR="002C0FDE" w:rsidRPr="0029600A">
        <w:rPr>
          <w:color w:val="000000" w:themeColor="text1"/>
          <w:sz w:val="20"/>
          <w:szCs w:val="20"/>
          <w:shd w:val="clear" w:color="auto" w:fill="FFFFFF"/>
          <w:vertAlign w:val="subscript"/>
        </w:rPr>
        <w:t>5</w:t>
      </w:r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(PO</w:t>
      </w:r>
      <w:r w:rsidR="002C0FDE" w:rsidRPr="0029600A">
        <w:rPr>
          <w:color w:val="000000" w:themeColor="text1"/>
          <w:sz w:val="20"/>
          <w:szCs w:val="20"/>
          <w:shd w:val="clear" w:color="auto" w:fill="FFFFFF"/>
          <w:vertAlign w:val="subscript"/>
        </w:rPr>
        <w:t>4</w:t>
      </w:r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)</w:t>
      </w:r>
      <w:r w:rsidR="002C0FDE" w:rsidRPr="0029600A">
        <w:rPr>
          <w:color w:val="000000" w:themeColor="text1"/>
          <w:sz w:val="20"/>
          <w:szCs w:val="20"/>
          <w:shd w:val="clear" w:color="auto" w:fill="FFFFFF"/>
          <w:vertAlign w:val="subscript"/>
        </w:rPr>
        <w:t>3</w:t>
      </w:r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 xml:space="preserve">(OH) </w:t>
      </w:r>
      <w:proofErr w:type="spellStart"/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Calcium</w:t>
      </w:r>
      <w:proofErr w:type="spellEnd"/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hydroxyapatite</w:t>
      </w:r>
      <w:proofErr w:type="spellEnd"/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, взятый из встроенной библиотеки, а для расчетов механических свойств материала были определены модуль Юнга 80 ГПа [6] и коэффициент Пуассона 0.2</w:t>
      </w:r>
      <w:r w:rsidR="00227D3B" w:rsidRPr="0029600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C0FDE" w:rsidRPr="0029600A">
        <w:rPr>
          <w:color w:val="000000" w:themeColor="text1"/>
          <w:sz w:val="20"/>
          <w:szCs w:val="20"/>
          <w:shd w:val="clear" w:color="auto" w:fill="FFFFFF"/>
        </w:rPr>
        <w:t>[7].  На следующем шаге механика разрушения твердого тела была реализована в модуле “Механика конструкций”, образец был зафиксирован в пространстве, определены вектор и сила нагрузки. Для вывода полученных результатов был настроен встроенный решатель, в результате расчётов которого получена траектория прохождения трещин в образцах с одной и несколькими порами (рис. 1).</w:t>
      </w:r>
    </w:p>
    <w:p w14:paraId="579C12CC" w14:textId="5E2F33EE" w:rsidR="002C0FDE" w:rsidRPr="0029600A" w:rsidRDefault="002C0FDE" w:rsidP="002C0FDE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29600A">
        <w:rPr>
          <w:b/>
          <w:bCs/>
          <w:noProof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03442A3" wp14:editId="441469E4">
            <wp:extent cx="3888105" cy="2886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FD98" w14:textId="77777777" w:rsidR="002C0FDE" w:rsidRPr="0029600A" w:rsidRDefault="002C0FDE" w:rsidP="002C0FDE">
      <w:pPr>
        <w:pStyle w:val="a3"/>
        <w:spacing w:before="0" w:beforeAutospacing="0" w:after="0" w:afterAutospacing="0"/>
        <w:ind w:left="397"/>
        <w:jc w:val="center"/>
        <w:rPr>
          <w:color w:val="000000" w:themeColor="text1"/>
          <w:sz w:val="18"/>
          <w:szCs w:val="18"/>
        </w:rPr>
      </w:pPr>
      <w:r w:rsidRPr="0029600A">
        <w:rPr>
          <w:color w:val="000000" w:themeColor="text1"/>
          <w:sz w:val="18"/>
          <w:szCs w:val="18"/>
          <w:shd w:val="clear" w:color="auto" w:fill="FFFFFF"/>
        </w:rPr>
        <w:t>Рис. 1. Модели керамических образцов из ГА с одной(A) и несколькими порами(B)</w:t>
      </w:r>
    </w:p>
    <w:p w14:paraId="6D164083" w14:textId="74C17F0E" w:rsidR="002C0FDE" w:rsidRPr="0029600A" w:rsidRDefault="002C0FDE" w:rsidP="002C0FDE">
      <w:pPr>
        <w:pStyle w:val="a3"/>
        <w:spacing w:before="240" w:beforeAutospacing="0" w:after="240" w:afterAutospacing="0"/>
        <w:ind w:firstLine="397"/>
        <w:jc w:val="both"/>
        <w:rPr>
          <w:color w:val="000000" w:themeColor="text1"/>
        </w:rPr>
      </w:pPr>
      <w:r w:rsidRPr="0029600A">
        <w:rPr>
          <w:color w:val="000000" w:themeColor="text1"/>
          <w:sz w:val="20"/>
          <w:szCs w:val="20"/>
          <w:shd w:val="clear" w:color="auto" w:fill="FFFFFF"/>
        </w:rPr>
        <w:t>Как видно из полученных результатов на рис</w:t>
      </w:r>
      <w:r w:rsidR="0075760D" w:rsidRPr="0029600A">
        <w:rPr>
          <w:color w:val="000000" w:themeColor="text1"/>
          <w:sz w:val="20"/>
          <w:szCs w:val="20"/>
          <w:shd w:val="clear" w:color="auto" w:fill="FFFFFF"/>
        </w:rPr>
        <w:t>.</w:t>
      </w:r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1, траектория трещин проходит через поры в образцах, и, с увеличением пор возрастает количество путей развития трещин. Следовательно, энергия распространения трещины рассеивается, что приводит к </w:t>
      </w:r>
      <w:r w:rsidR="00C74BC4" w:rsidRPr="00402E72">
        <w:rPr>
          <w:color w:val="000000" w:themeColor="text1"/>
          <w:sz w:val="20"/>
          <w:szCs w:val="20"/>
          <w:shd w:val="clear" w:color="auto" w:fill="FFFFFF"/>
        </w:rPr>
        <w:t>увеличению</w:t>
      </w:r>
      <w:r w:rsidRPr="0029600A">
        <w:rPr>
          <w:color w:val="000000" w:themeColor="text1"/>
          <w:sz w:val="20"/>
          <w:szCs w:val="20"/>
          <w:shd w:val="clear" w:color="auto" w:fill="FFFFFF"/>
        </w:rPr>
        <w:t xml:space="preserve"> вероятности разрушения материала. Результаты данной работы являются первым шагом (предварительным этапом) к моделированию физико-механических свойств двухфазных материалов.</w:t>
      </w:r>
    </w:p>
    <w:p w14:paraId="09B5D608" w14:textId="77777777" w:rsidR="002C0FDE" w:rsidRPr="0029600A" w:rsidRDefault="002C0FDE" w:rsidP="002C0FDE">
      <w:pPr>
        <w:pStyle w:val="a3"/>
        <w:spacing w:before="0" w:beforeAutospacing="0" w:after="0" w:afterAutospacing="0"/>
        <w:ind w:left="397"/>
        <w:jc w:val="center"/>
        <w:rPr>
          <w:color w:val="000000" w:themeColor="text1"/>
          <w:sz w:val="18"/>
          <w:szCs w:val="18"/>
        </w:rPr>
      </w:pPr>
      <w:r w:rsidRPr="0029600A">
        <w:rPr>
          <w:b/>
          <w:bCs/>
          <w:color w:val="000000" w:themeColor="text1"/>
          <w:sz w:val="18"/>
          <w:szCs w:val="18"/>
          <w:shd w:val="clear" w:color="auto" w:fill="FFFFFF"/>
        </w:rPr>
        <w:t>ЛИТЕРАТУРА</w:t>
      </w:r>
    </w:p>
    <w:p w14:paraId="1FE0AEE0" w14:textId="7870BBE9" w:rsidR="002C0FDE" w:rsidRPr="004400DA" w:rsidRDefault="002C0FDE" w:rsidP="00005AF5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</w:rPr>
      </w:pP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Suchanek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W., &amp; Yoshimura, M. (1998). Processing and properties of hydroxyapatite-based biomaterials for use as hard tissue replacement implants. </w:t>
      </w:r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Journal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of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materials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research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, 13(1), </w:t>
      </w:r>
      <w:r w:rsidR="00792B16" w:rsidRPr="004400DA">
        <w:rPr>
          <w:color w:val="000000" w:themeColor="text1"/>
          <w:sz w:val="18"/>
          <w:szCs w:val="18"/>
        </w:rPr>
        <w:t xml:space="preserve">P. </w:t>
      </w:r>
      <w:proofErr w:type="gramStart"/>
      <w:r w:rsidRPr="004400DA">
        <w:rPr>
          <w:color w:val="000000" w:themeColor="text1"/>
          <w:sz w:val="18"/>
          <w:szCs w:val="18"/>
          <w:shd w:val="clear" w:color="auto" w:fill="FFFFFF"/>
        </w:rPr>
        <w:t>94-117</w:t>
      </w:r>
      <w:proofErr w:type="gramEnd"/>
      <w:r w:rsidRPr="004400DA">
        <w:rPr>
          <w:color w:val="000000" w:themeColor="text1"/>
          <w:sz w:val="18"/>
          <w:szCs w:val="18"/>
          <w:shd w:val="clear" w:color="auto" w:fill="FFFFFF"/>
        </w:rPr>
        <w:t>.</w:t>
      </w:r>
    </w:p>
    <w:p w14:paraId="09A1832C" w14:textId="5208BDA7" w:rsidR="002C0FDE" w:rsidRPr="004400DA" w:rsidRDefault="002C0FDE" w:rsidP="002C0FDE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</w:rPr>
      </w:pP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White, A. A., Best, S. M., &amp; Kinloch, I. A. (2007). Hydroxyapatite–carbon nanotube composites for biomedical applications: a review. </w:t>
      </w:r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International Journal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of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Applied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Ceramic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Technology, 4(1), </w:t>
      </w:r>
      <w:r w:rsidR="00792B16" w:rsidRPr="004400DA">
        <w:rPr>
          <w:color w:val="000000" w:themeColor="text1"/>
          <w:sz w:val="18"/>
          <w:szCs w:val="18"/>
        </w:rPr>
        <w:t xml:space="preserve">P. </w:t>
      </w:r>
      <w:proofErr w:type="gramStart"/>
      <w:r w:rsidRPr="004400DA">
        <w:rPr>
          <w:color w:val="000000" w:themeColor="text1"/>
          <w:sz w:val="18"/>
          <w:szCs w:val="18"/>
          <w:shd w:val="clear" w:color="auto" w:fill="FFFFFF"/>
        </w:rPr>
        <w:t>1-13</w:t>
      </w:r>
      <w:proofErr w:type="gramEnd"/>
      <w:r w:rsidRPr="004400DA">
        <w:rPr>
          <w:color w:val="000000" w:themeColor="text1"/>
          <w:sz w:val="18"/>
          <w:szCs w:val="18"/>
          <w:shd w:val="clear" w:color="auto" w:fill="FFFFFF"/>
        </w:rPr>
        <w:t>.</w:t>
      </w:r>
    </w:p>
    <w:p w14:paraId="1431E084" w14:textId="33BA4E52" w:rsidR="002C0FDE" w:rsidRPr="004400DA" w:rsidRDefault="002C0FDE" w:rsidP="002C0FDE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  <w:lang w:val="en-US"/>
        </w:rPr>
      </w:pP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AAn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, L. B., Feng, L. J., &amp; Lu, C. G. (2011). Mechanical properties and applications of carbon nanotubes. Advanced Materials Research</w:t>
      </w:r>
      <w:r w:rsidR="006120A6" w:rsidRPr="004400DA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295, </w:t>
      </w:r>
      <w:r w:rsidR="00B175DE"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P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. 1516-1521. Trans Tech Publications Ltd.</w:t>
      </w:r>
    </w:p>
    <w:p w14:paraId="587EDDE6" w14:textId="54D78BB3" w:rsidR="002C0FDE" w:rsidRPr="004400DA" w:rsidRDefault="002C0FDE" w:rsidP="002C0FDE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</w:rPr>
      </w:pP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Barabashko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M. S.,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Tkachenko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M. V., Neiman, A. A., Ponomarev, A. N., &amp;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Rezvanova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A. E. (2020). Variation of Vickers microhardness and compression 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lastRenderedPageBreak/>
        <w:t xml:space="preserve">strength of the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bioceramics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 based on hydroxyapatite by adding the multi-walled carbon nanotubes.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Applied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Nanoscience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, 10(8), </w:t>
      </w:r>
      <w:r w:rsidR="00792B16" w:rsidRPr="004400DA">
        <w:rPr>
          <w:color w:val="000000" w:themeColor="text1"/>
          <w:sz w:val="18"/>
          <w:szCs w:val="18"/>
        </w:rPr>
        <w:t xml:space="preserve">P. </w:t>
      </w:r>
      <w:proofErr w:type="gramStart"/>
      <w:r w:rsidRPr="004400DA">
        <w:rPr>
          <w:color w:val="000000" w:themeColor="text1"/>
          <w:sz w:val="18"/>
          <w:szCs w:val="18"/>
          <w:shd w:val="clear" w:color="auto" w:fill="FFFFFF"/>
        </w:rPr>
        <w:t>2601-2608</w:t>
      </w:r>
      <w:proofErr w:type="gramEnd"/>
      <w:r w:rsidRPr="004400DA">
        <w:rPr>
          <w:color w:val="000000" w:themeColor="text1"/>
          <w:sz w:val="18"/>
          <w:szCs w:val="18"/>
          <w:shd w:val="clear" w:color="auto" w:fill="FFFFFF"/>
        </w:rPr>
        <w:t>.</w:t>
      </w:r>
    </w:p>
    <w:p w14:paraId="1613B85E" w14:textId="7CD6B04B" w:rsidR="002C0FDE" w:rsidRPr="004400DA" w:rsidRDefault="002C0FDE" w:rsidP="002C0FDE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  <w:lang w:val="en-US"/>
        </w:rPr>
      </w:pP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Rezvanova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A. E.,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Barabashko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M. S.,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Tkachenko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M. V., Ponomarev, A. N., Neiman, A. A., &amp;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Belosludtseva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, A. A. (2020, December). Experimental measurements and calculation of fracture toughness coefficient of a hydroxyapatite composite with small concentrations of additives of multi-walled carbon nanotubes. AIP Conference Proceedings</w:t>
      </w:r>
      <w:r w:rsidR="006120A6" w:rsidRPr="004400DA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2310</w:t>
      </w:r>
      <w:r w:rsidR="006120A6" w:rsidRPr="004400DA">
        <w:rPr>
          <w:color w:val="000000" w:themeColor="text1"/>
          <w:sz w:val="18"/>
          <w:szCs w:val="18"/>
          <w:shd w:val="clear" w:color="auto" w:fill="FFFFFF"/>
        </w:rPr>
        <w:t>(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>1</w:t>
      </w:r>
      <w:r w:rsidR="006120A6" w:rsidRPr="004400DA">
        <w:rPr>
          <w:color w:val="000000" w:themeColor="text1"/>
          <w:sz w:val="18"/>
          <w:szCs w:val="18"/>
          <w:shd w:val="clear" w:color="auto" w:fill="FFFFFF"/>
        </w:rPr>
        <w:t>)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r w:rsidR="00792B16" w:rsidRPr="004400DA">
        <w:rPr>
          <w:color w:val="000000" w:themeColor="text1"/>
          <w:sz w:val="18"/>
          <w:szCs w:val="18"/>
          <w:lang w:val="en-US"/>
        </w:rPr>
        <w:t>P.</w:t>
      </w:r>
      <w:r w:rsidRPr="004400DA">
        <w:rPr>
          <w:color w:val="000000" w:themeColor="text1"/>
          <w:sz w:val="18"/>
          <w:szCs w:val="18"/>
          <w:shd w:val="clear" w:color="auto" w:fill="FFFFFF"/>
          <w:lang w:val="en-US"/>
        </w:rPr>
        <w:t xml:space="preserve"> 020277. AIP Publishing LLC.</w:t>
      </w:r>
    </w:p>
    <w:p w14:paraId="0D94B2A3" w14:textId="77777777" w:rsidR="002C0FDE" w:rsidRPr="004400DA" w:rsidRDefault="002C0FDE" w:rsidP="002C0FDE">
      <w:pPr>
        <w:pStyle w:val="a3"/>
        <w:numPr>
          <w:ilvl w:val="0"/>
          <w:numId w:val="2"/>
        </w:numPr>
        <w:spacing w:before="0" w:beforeAutospacing="0" w:after="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</w:rPr>
      </w:pPr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Баринов </w:t>
      </w:r>
      <w:proofErr w:type="gramStart"/>
      <w:r w:rsidRPr="004400DA">
        <w:rPr>
          <w:color w:val="000000" w:themeColor="text1"/>
          <w:sz w:val="18"/>
          <w:szCs w:val="18"/>
          <w:shd w:val="clear" w:color="auto" w:fill="FFFFFF"/>
        </w:rPr>
        <w:t>С.М.</w:t>
      </w:r>
      <w:proofErr w:type="gram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, Комлев В.С. </w:t>
      </w: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Биокерамика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на основе фосфатов кальция. – М.: Наука, 2005. – С. </w:t>
      </w:r>
      <w:proofErr w:type="gramStart"/>
      <w:r w:rsidRPr="004400DA">
        <w:rPr>
          <w:color w:val="000000" w:themeColor="text1"/>
          <w:sz w:val="18"/>
          <w:szCs w:val="18"/>
          <w:shd w:val="clear" w:color="auto" w:fill="FFFFFF"/>
        </w:rPr>
        <w:t>92-93</w:t>
      </w:r>
      <w:proofErr w:type="gramEnd"/>
      <w:r w:rsidRPr="004400DA">
        <w:rPr>
          <w:color w:val="000000" w:themeColor="text1"/>
          <w:sz w:val="18"/>
          <w:szCs w:val="18"/>
          <w:shd w:val="clear" w:color="auto" w:fill="FFFFFF"/>
        </w:rPr>
        <w:t>.</w:t>
      </w:r>
    </w:p>
    <w:p w14:paraId="1C95CB71" w14:textId="77777777" w:rsidR="002C0FDE" w:rsidRPr="004400DA" w:rsidRDefault="002C0FDE" w:rsidP="002C0FDE">
      <w:pPr>
        <w:pStyle w:val="a3"/>
        <w:numPr>
          <w:ilvl w:val="0"/>
          <w:numId w:val="2"/>
        </w:numPr>
        <w:spacing w:before="0" w:beforeAutospacing="0" w:after="240" w:afterAutospacing="0"/>
        <w:ind w:left="0" w:firstLine="397"/>
        <w:jc w:val="both"/>
        <w:textAlignment w:val="baseline"/>
        <w:rPr>
          <w:color w:val="000000" w:themeColor="text1"/>
          <w:sz w:val="18"/>
          <w:szCs w:val="18"/>
        </w:rPr>
      </w:pPr>
      <w:proofErr w:type="spellStart"/>
      <w:r w:rsidRPr="004400DA">
        <w:rPr>
          <w:color w:val="000000" w:themeColor="text1"/>
          <w:sz w:val="18"/>
          <w:szCs w:val="18"/>
          <w:shd w:val="clear" w:color="auto" w:fill="FFFFFF"/>
        </w:rPr>
        <w:t>Муслов</w:t>
      </w:r>
      <w:proofErr w:type="spellEnd"/>
      <w:r w:rsidRPr="004400DA">
        <w:rPr>
          <w:color w:val="000000" w:themeColor="text1"/>
          <w:sz w:val="18"/>
          <w:szCs w:val="18"/>
          <w:shd w:val="clear" w:color="auto" w:fill="FFFFFF"/>
        </w:rPr>
        <w:t xml:space="preserve"> С. А. и др. Коэффициент Пуассона твердых тканей зуба. – Томск.: Издательский дом ТГУ, 2018. – С. </w:t>
      </w:r>
      <w:proofErr w:type="gramStart"/>
      <w:r w:rsidRPr="004400DA">
        <w:rPr>
          <w:color w:val="000000" w:themeColor="text1"/>
          <w:sz w:val="18"/>
          <w:szCs w:val="18"/>
          <w:shd w:val="clear" w:color="auto" w:fill="FFFFFF"/>
        </w:rPr>
        <w:t>78-80</w:t>
      </w:r>
      <w:proofErr w:type="gramEnd"/>
      <w:r w:rsidRPr="004400DA">
        <w:rPr>
          <w:color w:val="000000" w:themeColor="text1"/>
          <w:sz w:val="18"/>
          <w:szCs w:val="18"/>
          <w:shd w:val="clear" w:color="auto" w:fill="FFFFFF"/>
        </w:rPr>
        <w:t>.</w:t>
      </w:r>
    </w:p>
    <w:p w14:paraId="5DA32642" w14:textId="77777777" w:rsidR="006E33BA" w:rsidRPr="0029600A" w:rsidRDefault="006E33BA" w:rsidP="002C0FDE">
      <w:pPr>
        <w:rPr>
          <w:color w:val="000000" w:themeColor="text1"/>
        </w:rPr>
      </w:pPr>
    </w:p>
    <w:sectPr w:rsidR="006E33BA" w:rsidRPr="0029600A" w:rsidSect="003159B8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435"/>
    <w:multiLevelType w:val="multilevel"/>
    <w:tmpl w:val="B6DE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76F35"/>
    <w:multiLevelType w:val="multilevel"/>
    <w:tmpl w:val="0996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D"/>
    <w:rsid w:val="00005AF5"/>
    <w:rsid w:val="00103F97"/>
    <w:rsid w:val="001B2985"/>
    <w:rsid w:val="00227D3B"/>
    <w:rsid w:val="00265D82"/>
    <w:rsid w:val="0029600A"/>
    <w:rsid w:val="002C0FDE"/>
    <w:rsid w:val="00312D93"/>
    <w:rsid w:val="003159B8"/>
    <w:rsid w:val="00402E72"/>
    <w:rsid w:val="00421F99"/>
    <w:rsid w:val="004400DA"/>
    <w:rsid w:val="005B2845"/>
    <w:rsid w:val="006120A6"/>
    <w:rsid w:val="006E33BA"/>
    <w:rsid w:val="0075760D"/>
    <w:rsid w:val="00792B16"/>
    <w:rsid w:val="007B3F1B"/>
    <w:rsid w:val="00A833E9"/>
    <w:rsid w:val="00B175DE"/>
    <w:rsid w:val="00BE1F21"/>
    <w:rsid w:val="00C74BC4"/>
    <w:rsid w:val="00CA5655"/>
    <w:rsid w:val="00D12E97"/>
    <w:rsid w:val="00D2773A"/>
    <w:rsid w:val="00F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0E10"/>
  <w15:chartTrackingRefBased/>
  <w15:docId w15:val="{CAACF9E7-6016-4F39-8C25-4FABF35B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5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</dc:creator>
  <cp:keywords/>
  <dc:description/>
  <cp:lastModifiedBy>Gleb B</cp:lastModifiedBy>
  <cp:revision>21</cp:revision>
  <dcterms:created xsi:type="dcterms:W3CDTF">2022-03-07T10:09:00Z</dcterms:created>
  <dcterms:modified xsi:type="dcterms:W3CDTF">2022-05-19T06:27:00Z</dcterms:modified>
</cp:coreProperties>
</file>