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24"/>
            <w:shd w:fill="D9E8FB"/>
            <w:tcMar>
              <w:top w:w="160" w:type="dxa"/>
              <w:start w:w="150" w:type="dxa"/>
              <w:bottom w:w="160" w:type="dxa"/>
              <w:end w:w="15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2F5496"/>
                <w:sz w:val="34"/>
              </w:rPr>
              <w:t>REGISTRO DE USO DE IA – DASHBOARD EJECUTIVO</w:t>
            </w:r>
          </w:p>
        </w:tc>
      </w:tr>
    </w:tbl>
    <w:p>
      <w:pPr>
        <w:jc w:val="center"/>
      </w:pPr>
      <w:r>
        <w:rPr>
          <w:color w:val="595959"/>
          <w:sz w:val="20"/>
        </w:rPr>
        <w:t>Sistema de Inteligencia de Negocios en Excel · Pre-entrega Módulo 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c>
          <w:tcPr>
            <w:tcW w:type="dxa" w:w="5112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bottom w:val="single" w:sz="8" w:color="D9E2F3"/>
            </w:tcBorders>
          </w:tcPr>
          <w:p>
            <w:r>
              <w:rPr>
                <w:b/>
                <w:color w:val="2F5496"/>
              </w:rPr>
              <w:t>Alumno</w:t>
            </w:r>
          </w:p>
        </w:tc>
        <w:tc>
          <w:tcPr>
            <w:tcW w:type="dxa" w:w="51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bottom w:val="single" w:sz="8" w:color="D9E2F3"/>
            </w:tcBorders>
          </w:tcPr>
          <w:p>
            <w:r>
              <w:t>Alejo Perez</w:t>
            </w:r>
          </w:p>
        </w:tc>
      </w:tr>
      <w:tr>
        <w:tc>
          <w:tcPr>
            <w:tcW w:type="dxa" w:w="5112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bottom w:val="single" w:sz="8" w:color="D9E2F3"/>
            </w:tcBorders>
          </w:tcPr>
          <w:p>
            <w:r>
              <w:rPr>
                <w:b/>
                <w:color w:val="2F5496"/>
              </w:rPr>
              <w:t>Proyecto</w:t>
            </w:r>
          </w:p>
        </w:tc>
        <w:tc>
          <w:tcPr>
            <w:tcW w:type="dxa" w:w="51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bottom w:val="single" w:sz="8" w:color="D9E2F3"/>
            </w:tcBorders>
          </w:tcPr>
          <w:p>
            <w:r>
              <w:t>Dashboard Ejecutivo – Ventas y Rentabilidad</w:t>
            </w:r>
          </w:p>
        </w:tc>
      </w:tr>
      <w:tr>
        <w:tc>
          <w:tcPr>
            <w:tcW w:type="dxa" w:w="5112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bottom w:val="single" w:sz="8" w:color="D9E2F3"/>
            </w:tcBorders>
          </w:tcPr>
          <w:p>
            <w:r>
              <w:rPr>
                <w:b/>
                <w:color w:val="2F5496"/>
              </w:rPr>
              <w:t>Objetivo</w:t>
            </w:r>
          </w:p>
        </w:tc>
        <w:tc>
          <w:tcPr>
            <w:tcW w:type="dxa" w:w="51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bottom w:val="single" w:sz="8" w:color="D9E2F3"/>
            </w:tcBorders>
          </w:tcPr>
          <w:p>
            <w:r>
              <w:t>Documentar el uso de ChatGPT como herramienta de revisión crítica de los hallazgos del dashboard.</w:t>
            </w:r>
          </w:p>
        </w:tc>
      </w:tr>
    </w:tbl>
    <w:p>
      <w:pPr>
        <w:pStyle w:val="SectionTitle"/>
        <w:keepNext/>
      </w:pPr>
      <w:r>
        <w:t>1. Conclusiones iniciales del análisis humano</w:t>
      </w:r>
    </w:p>
    <w:p>
      <w:pPr>
        <w:pStyle w:val="ListNumber"/>
        <w:spacing w:after="60"/>
      </w:pPr>
      <w:r>
        <w:t>El Margen Neto mensual se mantiene relativamente estable durante el año, aunque febrero y abril presentan los valores más bajos y enero, octubre y diciembre los más altos.</w:t>
      </w:r>
    </w:p>
    <w:p>
      <w:pPr>
        <w:pStyle w:val="ListNumber"/>
        <w:spacing w:after="60"/>
      </w:pPr>
      <w:r>
        <w:t>Lentes de Sol UV presenta el mayor aporte de Margen Neto entre los productos analizados, mientras que Zapatillas Urbanas registra el menor.</w:t>
      </w:r>
    </w:p>
    <w:p>
      <w:pPr>
        <w:pStyle w:val="ListNumber"/>
        <w:spacing w:after="60"/>
      </w:pPr>
      <w:r>
        <w:t>El Margen Neto representa aproximadamente el 7,81% de las ventas estimadas, por lo que los costos representan cerca del 92,19% del total.</w:t>
      </w:r>
    </w:p>
    <w:p>
      <w:pPr>
        <w:pStyle w:val="SectionTitle"/>
        <w:keepNext/>
      </w:pPr>
      <w:r>
        <w:t>2. Prompt utilizado en ChatGPT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sz w:val="19"/>
              </w:rPr>
              <w:t>Estoy analizando un dashboard de ventas y rentabilidad de una empresa ficticia de retail.</w:t>
              <w:br/>
              <w:br/>
              <w:t>Mis conclusiones son:</w:t>
              <w:br/>
              <w:t>1. El Margen Neto mensual se mantiene relativamente estable durante el año, con mínimos en febrero y abril y máximos en enero, octubre y diciembre.</w:t>
              <w:br/>
              <w:t>2. Lentes de Sol UV es el producto que más Margen Neto aporta, mientras que Zapatillas Urbanas es el que menos aporta.</w:t>
              <w:br/>
              <w:t>3. El Margen Neto representa aproximadamente el 7,81% de las ventas estimadas y los costos absorben cerca del 92,19%.</w:t>
              <w:br/>
              <w:br/>
              <w:t>Actuá como abogado del diablo. Identificá posibles sesgos, errores de interpretación o variables que podrían estar faltando. No reemplaces mis conclusiones: cuestioná qué cosas no puedo afirmar solamente a partir de estos gráficos.</w:t>
            </w:r>
          </w:p>
        </w:tc>
      </w:tr>
    </w:tbl>
    <w:p>
      <w:pPr>
        <w:pStyle w:val="SectionTitle"/>
        <w:keepNext/>
      </w:pPr>
      <w:r>
        <w:t>3. Validación crítica aportada por la IA</w:t>
      </w:r>
    </w:p>
    <w:p>
      <w:pPr>
        <w:pStyle w:val="ListBullet"/>
        <w:spacing w:after="60"/>
      </w:pPr>
      <w:r>
        <w:t>Las diferencias mensuales no permiten concluir que exista estacionalidad, ya que se observa solamente un período anual y no existe una comparación interanual.</w:t>
      </w:r>
    </w:p>
    <w:p>
      <w:pPr>
        <w:pStyle w:val="ListBullet"/>
        <w:spacing w:after="60"/>
      </w:pPr>
      <w:r>
        <w:t>Que un producto genere más Margen Neto total no significa necesariamente que sea el más rentable porcentualmente. El resultado puede estar explicado por un mayor volumen de ventas.</w:t>
      </w:r>
    </w:p>
    <w:p>
      <w:pPr>
        <w:pStyle w:val="ListBullet"/>
        <w:spacing w:after="60"/>
      </w:pPr>
      <w:r>
        <w:t>El 7,81% debe interpretarse según las variables incluidas en el modelo. Si existen gastos administrativos, financieros, logísticos u otros costos no contemplados, no representa necesariamente el margen neto contable final.</w:t>
      </w:r>
    </w:p>
    <w:p>
      <w:pPr>
        <w:pStyle w:val="SectionTitle"/>
        <w:keepNext/>
      </w:pPr>
      <w:r>
        <w:t>4. Refinamientos aplicados al Dashboard</w:t>
      </w:r>
    </w:p>
    <w:p>
      <w:pPr>
        <w:pStyle w:val="ListBullet"/>
        <w:spacing w:after="60"/>
      </w:pPr>
      <w:r>
        <w:t>Se evitó interpretar las variaciones mensuales como estacionalidad.</w:t>
      </w:r>
    </w:p>
    <w:p>
      <w:pPr>
        <w:pStyle w:val="ListBullet"/>
        <w:spacing w:after="60"/>
      </w:pPr>
      <w:r>
        <w:t>El gráfico fue renombrado como “Aporte al Margen Neto por Producto” para aclarar que representa un valor absoluto y no una rentabilidad porcentual.</w:t>
      </w:r>
    </w:p>
    <w:p>
      <w:pPr>
        <w:pStyle w:val="ListBullet"/>
        <w:spacing w:after="60"/>
      </w:pPr>
      <w:r>
        <w:t>Se agregó una aclaración visible en el dashboard indicando que los indicadores se basan en ventas y márgenes estimados.</w:t>
      </w:r>
    </w:p>
    <w:p>
      <w:pPr>
        <w:pStyle w:val="ListBullet"/>
        <w:spacing w:after="60"/>
      </w:pPr>
      <w:r>
        <w:t>Se mantuvieron títulos descriptivos en los gráficos y se reservó la interpretación para la capa de análisis, evitando conclusiones excesivas en los títulos visuales.</w:t>
      </w:r>
    </w:p>
    <w:p>
      <w:pPr>
        <w:pStyle w:val="SectionTitle"/>
        <w:keepNext/>
      </w:pPr>
      <w:r>
        <w:t>5. Criterio de uso de 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sz w:val="20"/>
              </w:rPr>
              <w:t>La IA fue utilizada como auditor cognitivo para cuestionar supuestos y detectar posibles sesgos. Las conclusiones iniciales fueron formuladas a partir de la observación humana del dashboard y luego refinadas con la revisión crítica de ChatGPT.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7"/>
      </w:rPr>
      <w:t>Pre-entrega – Capa de visualización final del dashboard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Title">
    <w:name w:val="SectionTitle"/>
    <w:pPr>
      <w:spacing w:before="160" w:after="100"/>
    </w:pPr>
    <w:rPr>
      <w:rFonts w:ascii="Aptos Display" w:hAnsi="Aptos Display"/>
      <w:b/>
      <w:color w:val="2F5496"/>
      <w:sz w:val="27"/>
    </w:rPr>
  </w:style>
  <w:style w:type="paragraph" w:customStyle="1" w:styleId="SmallNote">
    <w:name w:val="SmallNote"/>
    <w:pPr>
      <w:spacing w:after="6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