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Annotation guide validation: human reference versus an independent LLM rater</w:t>
      </w:r>
    </w:p>
    <w:p>
      <w:pPr>
        <w:spacing w:after="200" w:line="264"/>
        <w:jc w:val="both"/>
      </w:pPr>
      <w:r>
        <w:rPr>
          <w:rFonts w:ascii="Calibri" w:cs="Calibri" w:eastAsia="Calibri" w:hAnsi="Calibri"/>
          <w:b w:val="false"/>
          <w:bCs w:val="false"/>
          <w:i/>
          <w:iCs/>
          <w:sz w:val="21"/>
          <w:szCs w:val="21"/>
        </w:rPr>
        <w:t xml:space="preserve">Chicago case (chicago_800m), seed-1 annotation pack. Working results for the faithfulness benchmark, guide validation subsection.</w:t>
      </w:r>
    </w:p>
    <w:p>
      <w:pPr>
        <w:pStyle w:val="Heading1"/>
        <w:spacing w:after="120" w:before="240"/>
      </w:pPr>
      <w:r>
        <w:rPr>
          <w:rFonts w:ascii="Calibri" w:cs="Calibri" w:eastAsia="Calibri" w:hAnsi="Calibri"/>
          <w:b/>
          <w:bCs/>
          <w:color w:val="1F3864"/>
          <w:sz w:val="26"/>
          <w:szCs w:val="26"/>
        </w:rPr>
        <w:t xml:space="preserve">Setup</w:t>
      </w:r>
    </w:p>
    <w:p>
      <w:pPr>
        <w:spacing w:after="120" w:line="264"/>
        <w:jc w:val="both"/>
      </w:pPr>
      <w:r>
        <w:rPr>
          <w:rFonts w:ascii="Calibri" w:cs="Calibri" w:eastAsia="Calibri" w:hAnsi="Calibri"/>
          <w:b w:val="false"/>
          <w:bCs w:val="false"/>
          <w:i w:val="false"/>
          <w:iCs w:val="false"/>
          <w:sz w:val="21"/>
          <w:szCs w:val="21"/>
        </w:rPr>
        <w:t xml:space="preserve">The seed-1 annotation pack for the Chicago case (16 anonymised model configurations, M01 to M16; 3 questions each; 606 atomic claims; 5 ECHO lines excluded) was labelled independently twice: by the human reference annotator and by Claude Fable 5.1 acting as a fresh rater. The rater received exactly two files verbatim, the annotation guide (version 1.0, containing the spatial brief and field glossary) and the blank pack, and returned one label per claim from the set T (brief-true), F (brief-false), R (recall), H (hallucination). Model codes were blinded in both conditions. All 606 claims were labelled by both raters; agreement is computed on the full set.</w:t>
      </w:r>
    </w:p>
    <w:p>
      <w:pPr>
        <w:spacing w:after="80" w:before="160"/>
      </w:pPr>
      <w:r>
        <w:rPr>
          <w:rFonts w:ascii="Calibri" w:cs="Calibri" w:eastAsia="Calibri" w:hAnsi="Calibri"/>
          <w:b/>
          <w:bCs/>
          <w:sz w:val="20"/>
          <w:szCs w:val="20"/>
        </w:rPr>
        <w:t xml:space="preserve">Table 1. Agreement between the human reference and Claude Fable 5.1 (n = 606 claims).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300"/>
        <w:gridCol w:w="1900"/>
        <w:gridCol w:w="2200"/>
      </w:tblGrid>
      <w:tr>
        <w:tc>
          <w:tcPr>
            <w:tcW w:type="dxa" w:w="2800"/>
            <w:shd w:fill="DCE6F1" w:val="clear"/>
            <w:tcMar>
              <w:top w:type="dxa" w:w="40"/>
              <w:left w:type="dxa" w:w="80"/>
              <w:bottom w:type="dxa" w:w="40"/>
              <w:right w:type="dxa" w:w="80"/>
            </w:tcMar>
          </w:tcPr>
          <w:p>
            <w:pPr>
              <w:jc w:val="left"/>
            </w:pPr>
            <w:r>
              <w:rPr>
                <w:rFonts w:ascii="Calibri" w:cs="Calibri" w:eastAsia="Calibri" w:hAnsi="Calibri"/>
                <w:b/>
                <w:bCs/>
                <w:sz w:val="20"/>
                <w:szCs w:val="20"/>
              </w:rPr>
              <w:t xml:space="preserve">Subset</w:t>
            </w:r>
          </w:p>
        </w:tc>
        <w:tc>
          <w:tcPr>
            <w:tcW w:type="dxa" w:w="17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Agreement</w:t>
            </w:r>
          </w:p>
        </w:tc>
        <w:tc>
          <w:tcPr>
            <w:tcW w:type="dxa" w:w="13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w:t>
            </w:r>
          </w:p>
        </w:tc>
        <w:tc>
          <w:tcPr>
            <w:tcW w:type="dxa" w:w="19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95% CI</w:t>
            </w:r>
          </w:p>
        </w:tc>
        <w:tc>
          <w:tcPr>
            <w:tcW w:type="dxa" w:w="22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Cohen's kappa</w:t>
            </w:r>
          </w:p>
        </w:tc>
      </w:tr>
      <w:tr>
        <w:tc>
          <w:tcPr>
            <w:tcW w:type="dxa" w:w="2800"/>
            <w:tcMar>
              <w:top w:type="dxa" w:w="40"/>
              <w:left w:type="dxa" w:w="80"/>
              <w:bottom w:type="dxa" w:w="40"/>
              <w:right w:type="dxa" w:w="80"/>
            </w:tcMar>
          </w:tcPr>
          <w:p>
            <w:pPr>
              <w:jc w:val="left"/>
            </w:pPr>
            <w:r>
              <w:rPr>
                <w:rFonts w:ascii="Calibri" w:cs="Calibri" w:eastAsia="Calibri" w:hAnsi="Calibri"/>
                <w:b w:val="false"/>
                <w:bCs w:val="false"/>
                <w:sz w:val="20"/>
                <w:szCs w:val="20"/>
              </w:rPr>
              <w:t xml:space="preserve">All claims</w:t>
            </w:r>
          </w:p>
        </w:tc>
        <w:tc>
          <w:tcPr>
            <w:tcW w:type="dxa" w:w="17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525/606</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86.6</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83.7-89.1</w:t>
            </w:r>
          </w:p>
        </w:tc>
        <w:tc>
          <w:tcPr>
            <w:tcW w:type="dxa" w:w="22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0.709 (0.650-0.768)</w:t>
            </w:r>
          </w:p>
        </w:tc>
      </w:tr>
      <w:tr>
        <w:tc>
          <w:tcPr>
            <w:tcW w:type="dxa" w:w="2800"/>
            <w:tcMar>
              <w:top w:type="dxa" w:w="40"/>
              <w:left w:type="dxa" w:w="80"/>
              <w:bottom w:type="dxa" w:w="40"/>
              <w:right w:type="dxa" w:w="80"/>
            </w:tcMar>
          </w:tcPr>
          <w:p>
            <w:pPr>
              <w:jc w:val="left"/>
            </w:pPr>
            <w:r>
              <w:rPr>
                <w:rFonts w:ascii="Calibri" w:cs="Calibri" w:eastAsia="Calibri" w:hAnsi="Calibri"/>
                <w:b w:val="false"/>
                <w:bCs w:val="false"/>
                <w:sz w:val="20"/>
                <w:szCs w:val="20"/>
              </w:rPr>
              <w:t xml:space="preserve">Q1/Q2 (descriptive)</w:t>
            </w:r>
          </w:p>
        </w:tc>
        <w:tc>
          <w:tcPr>
            <w:tcW w:type="dxa" w:w="17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380/430</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88.4</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85.0-91.1</w:t>
            </w:r>
          </w:p>
        </w:tc>
        <w:tc>
          <w:tcPr>
            <w:tcW w:type="dxa" w:w="22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0.668</w:t>
            </w:r>
          </w:p>
        </w:tc>
      </w:tr>
      <w:tr>
        <w:tc>
          <w:tcPr>
            <w:tcW w:type="dxa" w:w="2800"/>
            <w:tcMar>
              <w:top w:type="dxa" w:w="40"/>
              <w:left w:type="dxa" w:w="80"/>
              <w:bottom w:type="dxa" w:w="40"/>
              <w:right w:type="dxa" w:w="80"/>
            </w:tcMar>
          </w:tcPr>
          <w:p>
            <w:pPr>
              <w:jc w:val="left"/>
            </w:pPr>
            <w:r>
              <w:rPr>
                <w:rFonts w:ascii="Calibri" w:cs="Calibri" w:eastAsia="Calibri" w:hAnsi="Calibri"/>
                <w:b w:val="false"/>
                <w:bCs w:val="false"/>
                <w:sz w:val="20"/>
                <w:szCs w:val="20"/>
              </w:rPr>
              <w:t xml:space="preserve">Q3 (trap)</w:t>
            </w:r>
          </w:p>
        </w:tc>
        <w:tc>
          <w:tcPr>
            <w:tcW w:type="dxa" w:w="17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145/176</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82.4</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76.1-87.3</w:t>
            </w:r>
          </w:p>
        </w:tc>
        <w:tc>
          <w:tcPr>
            <w:tcW w:type="dxa" w:w="22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0.725</w:t>
            </w:r>
          </w:p>
        </w:tc>
      </w:tr>
    </w:tbl>
    <w:p>
      <w:pPr>
        <w:spacing w:after="200" w:before="60"/>
      </w:pPr>
      <w:r>
        <w:rPr>
          <w:rFonts w:ascii="Calibri" w:cs="Calibri" w:eastAsia="Calibri" w:hAnsi="Calibri"/>
          <w:i/>
          <w:iCs/>
          <w:sz w:val="18"/>
          <w:szCs w:val="18"/>
        </w:rPr>
        <w:t xml:space="preserve">Confidence intervals for percentages are Wilson score intervals; the kappa interval is asymptotic. Observed agreement 0.866; chance agreement 0.541. Raw agreement is lower on the Q3 trap blocks but kappa is higher, because the Q3 label mix is less dominated by T and therefore less agreement is attributable to chance.</w:t>
      </w:r>
    </w:p>
    <w:p>
      <w:pPr>
        <w:spacing w:after="80" w:before="160"/>
      </w:pPr>
      <w:r>
        <w:rPr>
          <w:rFonts w:ascii="Calibri" w:cs="Calibri" w:eastAsia="Calibri" w:hAnsi="Calibri"/>
          <w:b/>
          <w:bCs/>
          <w:sz w:val="20"/>
          <w:szCs w:val="20"/>
        </w:rPr>
        <w:t xml:space="preserve">Table 2. Per-label agreement (share of reference-labelled claims matched by the rater).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900"/>
        <w:gridCol w:w="1300"/>
        <w:gridCol w:w="1900"/>
      </w:tblGrid>
      <w:tr>
        <w:tc>
          <w:tcPr>
            <w:tcW w:type="dxa" w:w="2900"/>
            <w:shd w:fill="DCE6F1" w:val="clear"/>
            <w:tcMar>
              <w:top w:type="dxa" w:w="40"/>
              <w:left w:type="dxa" w:w="80"/>
              <w:bottom w:type="dxa" w:w="40"/>
              <w:right w:type="dxa" w:w="80"/>
            </w:tcMar>
          </w:tcPr>
          <w:p>
            <w:pPr>
              <w:jc w:val="left"/>
            </w:pPr>
            <w:r>
              <w:rPr>
                <w:rFonts w:ascii="Calibri" w:cs="Calibri" w:eastAsia="Calibri" w:hAnsi="Calibri"/>
                <w:b/>
                <w:bCs/>
                <w:sz w:val="20"/>
                <w:szCs w:val="20"/>
              </w:rPr>
              <w:t xml:space="preserve">Reference label</w:t>
            </w:r>
          </w:p>
        </w:tc>
        <w:tc>
          <w:tcPr>
            <w:tcW w:type="dxa" w:w="14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n</w:t>
            </w:r>
          </w:p>
        </w:tc>
        <w:tc>
          <w:tcPr>
            <w:tcW w:type="dxa" w:w="19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Rater matched</w:t>
            </w:r>
          </w:p>
        </w:tc>
        <w:tc>
          <w:tcPr>
            <w:tcW w:type="dxa" w:w="13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w:t>
            </w:r>
          </w:p>
        </w:tc>
        <w:tc>
          <w:tcPr>
            <w:tcW w:type="dxa" w:w="19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95% CI</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sz w:val="20"/>
                <w:szCs w:val="20"/>
              </w:rPr>
              <w:t xml:space="preserve">T (brief-true)</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453</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404</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89.2</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86.0-91.7</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sz w:val="20"/>
                <w:szCs w:val="20"/>
              </w:rPr>
              <w:t xml:space="preserve">F (brief-false)</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82</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58</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70.7</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60.1-79.5</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sz w:val="20"/>
                <w:szCs w:val="20"/>
              </w:rPr>
              <w:t xml:space="preserve">R (recall)</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38</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35</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92.1</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79.2-97.3</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sz w:val="20"/>
                <w:szCs w:val="20"/>
              </w:rPr>
              <w:t xml:space="preserve">H (hallucination)</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33</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28</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84.8</w:t>
            </w:r>
          </w:p>
        </w:tc>
        <w:tc>
          <w:tcPr>
            <w:tcW w:type="dxa" w:w="1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69.1-93.3</w:t>
            </w:r>
          </w:p>
        </w:tc>
      </w:tr>
    </w:tbl>
    <w:p>
      <w:pPr>
        <w:spacing w:after="80" w:before="160"/>
      </w:pPr>
      <w:r>
        <w:rPr>
          <w:rFonts w:ascii="Calibri" w:cs="Calibri" w:eastAsia="Calibri" w:hAnsi="Calibri"/>
          <w:b/>
          <w:bCs/>
          <w:sz w:val="20"/>
          <w:szCs w:val="20"/>
        </w:rPr>
        <w:t xml:space="preserve">Table 3. Confusion matrix (rows: human reference; columns: Fable 5.1).</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tblGrid>
      <w:tr>
        <w:tc>
          <w:tcPr>
            <w:tcW w:type="dxa" w:w="1800"/>
            <w:shd w:fill="DCE6F1" w:val="clear"/>
            <w:tcMar>
              <w:top w:type="dxa" w:w="40"/>
              <w:left w:type="dxa" w:w="80"/>
              <w:bottom w:type="dxa" w:w="40"/>
              <w:right w:type="dxa" w:w="80"/>
            </w:tcMar>
          </w:tcPr>
          <w:p>
            <w:pPr>
              <w:jc w:val="left"/>
            </w:pPr>
            <w:r>
              <w:rPr>
                <w:rFonts w:ascii="Calibri" w:cs="Calibri" w:eastAsia="Calibri" w:hAnsi="Calibri"/>
                <w:b/>
                <w:bCs/>
                <w:sz w:val="20"/>
                <w:szCs w:val="20"/>
              </w:rPr>
              <w:t xml:space="preserve"/>
            </w:r>
          </w:p>
        </w:tc>
        <w:tc>
          <w:tcPr>
            <w:tcW w:type="dxa" w:w="13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T</w:t>
            </w:r>
          </w:p>
        </w:tc>
        <w:tc>
          <w:tcPr>
            <w:tcW w:type="dxa" w:w="13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F</w:t>
            </w:r>
          </w:p>
        </w:tc>
        <w:tc>
          <w:tcPr>
            <w:tcW w:type="dxa" w:w="13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R</w:t>
            </w:r>
          </w:p>
        </w:tc>
        <w:tc>
          <w:tcPr>
            <w:tcW w:type="dxa" w:w="13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H</w:t>
            </w:r>
          </w:p>
        </w:tc>
      </w:tr>
      <w:tr>
        <w:tc>
          <w:tcPr>
            <w:tcW w:type="dxa" w:w="1800"/>
            <w:tcMar>
              <w:top w:type="dxa" w:w="40"/>
              <w:left w:type="dxa" w:w="80"/>
              <w:bottom w:type="dxa" w:w="40"/>
              <w:right w:type="dxa" w:w="80"/>
            </w:tcMar>
          </w:tcPr>
          <w:p>
            <w:pPr>
              <w:jc w:val="left"/>
            </w:pPr>
            <w:r>
              <w:rPr>
                <w:rFonts w:ascii="Calibri" w:cs="Calibri" w:eastAsia="Calibri" w:hAnsi="Calibri"/>
                <w:b w:val="false"/>
                <w:bCs w:val="false"/>
                <w:sz w:val="20"/>
                <w:szCs w:val="20"/>
              </w:rPr>
              <w:t xml:space="preserve">T</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404</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20</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26</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3</w:t>
            </w:r>
          </w:p>
        </w:tc>
      </w:tr>
      <w:tr>
        <w:tc>
          <w:tcPr>
            <w:tcW w:type="dxa" w:w="1800"/>
            <w:tcMar>
              <w:top w:type="dxa" w:w="40"/>
              <w:left w:type="dxa" w:w="80"/>
              <w:bottom w:type="dxa" w:w="40"/>
              <w:right w:type="dxa" w:w="80"/>
            </w:tcMar>
          </w:tcPr>
          <w:p>
            <w:pPr>
              <w:jc w:val="left"/>
            </w:pPr>
            <w:r>
              <w:rPr>
                <w:rFonts w:ascii="Calibri" w:cs="Calibri" w:eastAsia="Calibri" w:hAnsi="Calibri"/>
                <w:b w:val="false"/>
                <w:bCs w:val="false"/>
                <w:sz w:val="20"/>
                <w:szCs w:val="20"/>
              </w:rPr>
              <w:t xml:space="preserve">F</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10</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58</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0</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14</w:t>
            </w:r>
          </w:p>
        </w:tc>
      </w:tr>
      <w:tr>
        <w:tc>
          <w:tcPr>
            <w:tcW w:type="dxa" w:w="1800"/>
            <w:tcMar>
              <w:top w:type="dxa" w:w="40"/>
              <w:left w:type="dxa" w:w="80"/>
              <w:bottom w:type="dxa" w:w="40"/>
              <w:right w:type="dxa" w:w="80"/>
            </w:tcMar>
          </w:tcPr>
          <w:p>
            <w:pPr>
              <w:jc w:val="left"/>
            </w:pPr>
            <w:r>
              <w:rPr>
                <w:rFonts w:ascii="Calibri" w:cs="Calibri" w:eastAsia="Calibri" w:hAnsi="Calibri"/>
                <w:b w:val="false"/>
                <w:bCs w:val="false"/>
                <w:sz w:val="20"/>
                <w:szCs w:val="20"/>
              </w:rPr>
              <w:t xml:space="preserve">R</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0</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0</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35</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3</w:t>
            </w:r>
          </w:p>
        </w:tc>
      </w:tr>
      <w:tr>
        <w:tc>
          <w:tcPr>
            <w:tcW w:type="dxa" w:w="1800"/>
            <w:tcMar>
              <w:top w:type="dxa" w:w="40"/>
              <w:left w:type="dxa" w:w="80"/>
              <w:bottom w:type="dxa" w:w="40"/>
              <w:right w:type="dxa" w:w="80"/>
            </w:tcMar>
          </w:tcPr>
          <w:p>
            <w:pPr>
              <w:jc w:val="left"/>
            </w:pPr>
            <w:r>
              <w:rPr>
                <w:rFonts w:ascii="Calibri" w:cs="Calibri" w:eastAsia="Calibri" w:hAnsi="Calibri"/>
                <w:b w:val="false"/>
                <w:bCs w:val="false"/>
                <w:sz w:val="20"/>
                <w:szCs w:val="20"/>
              </w:rPr>
              <w:t xml:space="preserve">H</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1</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3</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1</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28</w:t>
            </w:r>
          </w:p>
        </w:tc>
      </w:tr>
    </w:tbl>
    <w:p>
      <w:pPr>
        <w:pStyle w:val="Heading1"/>
        <w:spacing w:after="120" w:before="240"/>
      </w:pPr>
      <w:r>
        <w:rPr>
          <w:rFonts w:ascii="Calibri" w:cs="Calibri" w:eastAsia="Calibri" w:hAnsi="Calibri"/>
          <w:b/>
          <w:bCs/>
          <w:color w:val="1F3864"/>
          <w:sz w:val="26"/>
          <w:szCs w:val="26"/>
        </w:rPr>
        <w:t xml:space="preserve">Structure of the disagreements</w:t>
      </w:r>
    </w:p>
    <w:p>
      <w:pPr>
        <w:spacing w:after="120" w:line="264"/>
        <w:jc w:val="both"/>
      </w:pPr>
      <w:r>
        <w:rPr>
          <w:rFonts w:ascii="Calibri" w:cs="Calibri" w:eastAsia="Calibri" w:hAnsi="Calibri"/>
          <w:b w:val="false"/>
          <w:bCs w:val="false"/>
          <w:i w:val="false"/>
          <w:iCs w:val="false"/>
          <w:sz w:val="21"/>
          <w:szCs w:val="21"/>
        </w:rPr>
        <w:t xml:space="preserve">The 81 disagreements are not randomly distributed. Sixty-six (81%) fall in loci identified before the run as expected disagreement zones, either interpretive choices the reference annotator pre-registered or borderline items flagged during a pre-run review. A single interpretive choice, whether an external-knowledge relative clause of the form "...which are essential for accessing healthy, affordable food" is labelled T (as a characterisation anchored to brief values) or R (as imported general knowledge), accounts for 26 of the 81 disagreements on its own; the rater consistently chose R where the reference chose T. A further 17 disagreements are F/H swaps inside the Q3 capitulation tails, a boundary the guide explicitly tolerates in both directions (the two labels agree the claim is wrong and differ only on framing). This concentration also explains the lower per-label score for F in Table 2.</w:t>
      </w:r>
    </w:p>
    <w:p>
      <w:pPr>
        <w:spacing w:after="80" w:before="160"/>
      </w:pPr>
      <w:r>
        <w:rPr>
          <w:rFonts w:ascii="Calibri" w:cs="Calibri" w:eastAsia="Calibri" w:hAnsi="Calibri"/>
          <w:b/>
          <w:bCs/>
          <w:sz w:val="20"/>
          <w:szCs w:val="20"/>
        </w:rPr>
        <w:t xml:space="preserve">Table 4. Disagreement loci (n = 81).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600"/>
        <w:gridCol w:w="900"/>
        <w:gridCol w:w="3400"/>
      </w:tblGrid>
      <w:tr>
        <w:tc>
          <w:tcPr>
            <w:tcW w:type="dxa" w:w="5600"/>
            <w:shd w:fill="DCE6F1" w:val="clear"/>
            <w:tcMar>
              <w:top w:type="dxa" w:w="40"/>
              <w:left w:type="dxa" w:w="80"/>
              <w:bottom w:type="dxa" w:w="40"/>
              <w:right w:type="dxa" w:w="80"/>
            </w:tcMar>
          </w:tcPr>
          <w:p>
            <w:pPr>
              <w:jc w:val="left"/>
            </w:pPr>
            <w:r>
              <w:rPr>
                <w:rFonts w:ascii="Calibri" w:cs="Calibri" w:eastAsia="Calibri" w:hAnsi="Calibri"/>
                <w:b/>
                <w:bCs/>
                <w:sz w:val="20"/>
                <w:szCs w:val="20"/>
              </w:rPr>
              <w:t xml:space="preserve">Locus</w:t>
            </w:r>
          </w:p>
        </w:tc>
        <w:tc>
          <w:tcPr>
            <w:tcW w:type="dxa" w:w="9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n</w:t>
            </w:r>
          </w:p>
        </w:tc>
        <w:tc>
          <w:tcPr>
            <w:tcW w:type="dxa" w:w="3400"/>
            <w:shd w:fill="DCE6F1" w:val="clear"/>
            <w:tcMar>
              <w:top w:type="dxa" w:w="40"/>
              <w:left w:type="dxa" w:w="80"/>
              <w:bottom w:type="dxa" w:w="40"/>
              <w:right w:type="dxa" w:w="80"/>
            </w:tcMar>
          </w:tcPr>
          <w:p>
            <w:pPr>
              <w:jc w:val="center"/>
            </w:pPr>
            <w:r>
              <w:rPr>
                <w:rFonts w:ascii="Calibri" w:cs="Calibri" w:eastAsia="Calibri" w:hAnsi="Calibri"/>
                <w:b/>
                <w:bCs/>
                <w:sz w:val="20"/>
                <w:szCs w:val="20"/>
              </w:rPr>
              <w:t xml:space="preserve">Direction (reference to rater)</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sz w:val="20"/>
                <w:szCs w:val="20"/>
              </w:rPr>
              <w:t xml:space="preserve">Substitution and criticality clauses (external stock knowledge)</w:t>
            </w:r>
          </w:p>
        </w:tc>
        <w:tc>
          <w:tcPr>
            <w:tcW w:type="dxa" w:w="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26</w:t>
            </w:r>
          </w:p>
        </w:tc>
        <w:tc>
          <w:tcPr>
            <w:tcW w:type="dxa" w:w="3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T to R</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sz w:val="20"/>
                <w:szCs w:val="20"/>
              </w:rPr>
              <w:t xml:space="preserve">F/H boundary in Q3 capitulation tails</w:t>
            </w:r>
          </w:p>
        </w:tc>
        <w:tc>
          <w:tcPr>
            <w:tcW w:type="dxa" w:w="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17</w:t>
            </w:r>
          </w:p>
        </w:tc>
        <w:tc>
          <w:tcPr>
            <w:tcW w:type="dxa" w:w="3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14 F to H; 3 H to F</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sz w:val="20"/>
                <w:szCs w:val="20"/>
              </w:rPr>
              <w:t xml:space="preserve">Verdict-strength adjectives (e.g. "moderately well-served")</w:t>
            </w:r>
          </w:p>
        </w:tc>
        <w:tc>
          <w:tcPr>
            <w:tcW w:type="dxa" w:w="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7</w:t>
            </w:r>
          </w:p>
        </w:tc>
        <w:tc>
          <w:tcPr>
            <w:tcW w:type="dxa" w:w="3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mixed</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sz w:val="20"/>
                <w:szCs w:val="20"/>
              </w:rPr>
              <w:t xml:space="preserve">Exhaustive "only" inventories under tolerated accounting</w:t>
            </w:r>
          </w:p>
        </w:tc>
        <w:tc>
          <w:tcPr>
            <w:tcW w:type="dxa" w:w="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6</w:t>
            </w:r>
          </w:p>
        </w:tc>
        <w:tc>
          <w:tcPr>
            <w:tcW w:type="dxa" w:w="3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T to F</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sz w:val="20"/>
                <w:szCs w:val="20"/>
              </w:rPr>
              <w:t xml:space="preserve">"Relatively dense/high" density adjectives</w:t>
            </w:r>
          </w:p>
        </w:tc>
        <w:tc>
          <w:tcPr>
            <w:tcW w:type="dxa" w:w="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5</w:t>
            </w:r>
          </w:p>
        </w:tc>
        <w:tc>
          <w:tcPr>
            <w:tcW w:type="dxa" w:w="3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F to T</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sz w:val="20"/>
                <w:szCs w:val="20"/>
              </w:rPr>
              <w:t xml:space="preserve">Items flagged in pre-run review; rater sided with the review</w:t>
            </w:r>
          </w:p>
        </w:tc>
        <w:tc>
          <w:tcPr>
            <w:tcW w:type="dxa" w:w="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5</w:t>
            </w:r>
          </w:p>
        </w:tc>
        <w:tc>
          <w:tcPr>
            <w:tcW w:type="dxa" w:w="3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T to F or H</w:t>
            </w:r>
          </w:p>
        </w:tc>
      </w:tr>
      <w:tr>
        <w:tc>
          <w:tcPr>
            <w:tcW w:type="dxa" w:w="5600"/>
            <w:tcMar>
              <w:top w:type="dxa" w:w="40"/>
              <w:left w:type="dxa" w:w="80"/>
              <w:bottom w:type="dxa" w:w="40"/>
              <w:right w:type="dxa" w:w="80"/>
            </w:tcMar>
          </w:tcPr>
          <w:p>
            <w:pPr>
              <w:jc w:val="left"/>
            </w:pPr>
            <w:r>
              <w:rPr>
                <w:rFonts w:ascii="Calibri" w:cs="Calibri" w:eastAsia="Calibri" w:hAnsi="Calibri"/>
                <w:b w:val="false"/>
                <w:bCs w:val="false"/>
                <w:sz w:val="20"/>
                <w:szCs w:val="20"/>
              </w:rPr>
              <w:t xml:space="preserve">Unanticipated, no single pattern</w:t>
            </w:r>
          </w:p>
        </w:tc>
        <w:tc>
          <w:tcPr>
            <w:tcW w:type="dxa" w:w="9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15</w:t>
            </w:r>
          </w:p>
        </w:tc>
        <w:tc>
          <w:tcPr>
            <w:tcW w:type="dxa" w:w="3400"/>
            <w:tcMar>
              <w:top w:type="dxa" w:w="40"/>
              <w:left w:type="dxa" w:w="80"/>
              <w:bottom w:type="dxa" w:w="40"/>
              <w:right w:type="dxa" w:w="80"/>
            </w:tcMar>
          </w:tcPr>
          <w:p>
            <w:pPr>
              <w:jc w:val="center"/>
            </w:pPr>
            <w:r>
              <w:rPr>
                <w:rFonts w:ascii="Calibri" w:cs="Calibri" w:eastAsia="Calibri" w:hAnsi="Calibri"/>
                <w:b w:val="false"/>
                <w:bCs w:val="false"/>
                <w:sz w:val="20"/>
                <w:szCs w:val="20"/>
              </w:rPr>
              <w:t xml:space="preserve">mixed</w:t>
            </w:r>
          </w:p>
        </w:tc>
      </w:tr>
    </w:tbl>
    <w:p>
      <w:pPr>
        <w:pStyle w:val="Heading1"/>
        <w:spacing w:after="120" w:before="240"/>
      </w:pPr>
      <w:r>
        <w:rPr>
          <w:rFonts w:ascii="Calibri" w:cs="Calibri" w:eastAsia="Calibri" w:hAnsi="Calibri"/>
          <w:b/>
          <w:bCs/>
          <w:color w:val="1F3864"/>
          <w:sz w:val="26"/>
          <w:szCs w:val="26"/>
        </w:rPr>
        <w:t xml:space="preserve">Interpretation</w:t>
      </w:r>
    </w:p>
    <w:p>
      <w:pPr>
        <w:spacing w:after="120" w:line="264"/>
        <w:jc w:val="both"/>
      </w:pPr>
      <w:r>
        <w:rPr>
          <w:rFonts w:ascii="Calibri" w:cs="Calibri" w:eastAsia="Calibri" w:hAnsi="Calibri"/>
          <w:b w:val="false"/>
          <w:bCs w:val="false"/>
          <w:i w:val="false"/>
          <w:iCs w:val="false"/>
          <w:sz w:val="21"/>
          <w:szCs w:val="21"/>
        </w:rPr>
        <w:t xml:space="preserve">Overall kappa of 0.709 falls in the conventional "substantial agreement" band, supporting the claim that the annotation guide transmits the labelling scheme to an independent rater. Because the disagreements concentrate in a small number of identifiable interpretive choices rather than scattering across the pack, most residual disagreement is attributable to guide underdetermination at known boundaries (the T/R source test for evaluative bridges, and the F/H framing test in premise-adopting claims) rather than to rater noise. These two boundaries are the natural targets for the next guide revision.</w:t>
      </w:r>
    </w:p>
    <w:p>
      <w:pPr>
        <w:spacing w:after="120" w:line="264"/>
        <w:jc w:val="both"/>
      </w:pPr>
      <w:r>
        <w:rPr>
          <w:rFonts w:ascii="Calibri" w:cs="Calibri" w:eastAsia="Calibri" w:hAnsi="Calibri"/>
          <w:b w:val="false"/>
          <w:bCs w:val="false"/>
          <w:i w:val="false"/>
          <w:iCs w:val="false"/>
          <w:sz w:val="21"/>
          <w:szCs w:val="21"/>
        </w:rPr>
        <w:t xml:space="preserve">Caveats. Single rater, single run, one case (Chicago); the rater model belongs to the same family as the assistant that helped draft the guide, so this is a transmission check rather than a fully independent validation; guide version 1.0 was supplied to the rater. Claims: 606; ECHO lines excluded: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2026-09-13T12:50:29.644Z</dcterms:created>
  <dcterms:modified xsi:type="dcterms:W3CDTF">2026-09-13T12:50:29.657Z</dcterms:modified>
</cp:coreProperties>
</file>

<file path=docProps/custom.xml><?xml version="1.0" encoding="utf-8"?>
<Properties xmlns="http://schemas.openxmlformats.org/officeDocument/2006/custom-properties" xmlns:vt="http://schemas.openxmlformats.org/officeDocument/2006/docPropsVTypes"/>
</file>