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Salmonella</w:t>
      </w:r>
      <w:r>
        <w:t xml:space="preserve"> </w:t>
      </w:r>
      <w:r>
        <w:t xml:space="preserve">Environmental</w:t>
      </w:r>
      <w:r>
        <w:t xml:space="preserve"> </w:t>
      </w:r>
      <w:r>
        <w:t xml:space="preserve">Persistence</w:t>
      </w:r>
      <w:r>
        <w:t xml:space="preserve"> </w:t>
      </w:r>
      <w:r>
        <w:t xml:space="preserve">Informs</w:t>
      </w:r>
      <w:r>
        <w:t xml:space="preserve"> </w:t>
      </w:r>
      <w:r>
        <w:t xml:space="preserve">Management</w:t>
      </w:r>
      <w:r>
        <w:t xml:space="preserve"> </w:t>
      </w:r>
      <w:r>
        <w:t xml:space="preserve">Relevant</w:t>
      </w:r>
      <w:r>
        <w:t xml:space="preserve"> </w:t>
      </w:r>
      <w:r>
        <w:t xml:space="preserve">to</w:t>
      </w:r>
      <w:r>
        <w:t xml:space="preserve"> </w:t>
      </w:r>
      <w:r>
        <w:t xml:space="preserve">Avian</w:t>
      </w:r>
      <w:r>
        <w:t xml:space="preserve"> </w:t>
      </w:r>
      <w:r>
        <w:t xml:space="preserve">and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M.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5/4/23</w:t>
      </w:r>
    </w:p>
    <w:bookmarkStart w:id="20" w:name="summaryabstract"/>
    <w:p>
      <w:pPr>
        <w:pStyle w:val="Heading1"/>
      </w:pPr>
      <w:r>
        <w:t xml:space="preserve">1. </w:t>
      </w:r>
      <w:r>
        <w:rPr>
          <w:bCs/>
          <w:b/>
        </w:rPr>
        <w:t xml:space="preserve">Summary/Abstract</w:t>
      </w:r>
    </w:p>
    <w:p>
      <w:pPr>
        <w:pStyle w:val="FirstParagraph"/>
      </w:pPr>
      <w:r>
        <w:t xml:space="preserve">Globally,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 a significant public health threat. We</w:t>
      </w:r>
      <w:r>
        <w:t xml:space="preserve"> </w:t>
      </w:r>
      <w:r>
        <w:t xml:space="preserve">evaluated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various surface materials</w:t>
      </w:r>
      <w:r>
        <w:t xml:space="preserve"> </w:t>
      </w:r>
      <w:r>
        <w:t xml:space="preserve">(e.g., picnic tables and bird feeders). Our studies suggest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have prolonged persistence on shared spaces. However,</w:t>
      </w:r>
      <w:r>
        <w:t xml:space="preserve"> </w:t>
      </w:r>
      <w:r>
        <w:t xml:space="preserve">persistence depends on surface material and precautionary measures</w:t>
      </w:r>
      <w:r>
        <w:t xml:space="preserve"> </w:t>
      </w:r>
      <w:r>
        <w:t xml:space="preserve">should be adopted to reduce exposure.</w:t>
      </w:r>
    </w:p>
    <w:bookmarkEnd w:id="20"/>
    <w:bookmarkStart w:id="24" w:name="introduction-why-salmonella"/>
    <w:p>
      <w:pPr>
        <w:pStyle w:val="Heading1"/>
      </w:pPr>
      <w:r>
        <w:t xml:space="preserve">2. </w:t>
      </w:r>
      <w:r>
        <w:rPr>
          <w:bCs/>
          <w:b/>
        </w:rPr>
        <w:t xml:space="preserve">Introduction (Why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Salmonella</w:t>
      </w:r>
      <w:r>
        <w:rPr>
          <w:bCs/>
          <w:b/>
        </w:rPr>
        <w:t xml:space="preserve">?)</w:t>
      </w:r>
    </w:p>
    <w:p>
      <w:pPr>
        <w:pStyle w:val="FirstParagraph"/>
      </w:pPr>
      <w:r>
        <w:rPr>
          <w:iCs/>
          <w:i/>
        </w:rPr>
        <w:t xml:space="preserve">Salmonella enterica</w:t>
      </w:r>
      <w:r>
        <w:t xml:space="preserve"> </w:t>
      </w:r>
      <w:r>
        <w:t xml:space="preserve">infections are a significant public health threat,</w:t>
      </w:r>
      <w:r>
        <w:t xml:space="preserve"> </w:t>
      </w:r>
      <w:r>
        <w:t xml:space="preserve">responsible for over 93 million annual cases of human illness worldwide</w:t>
      </w:r>
      <w:r>
        <w:t xml:space="preserve"> </w:t>
      </w:r>
      <w:r>
        <w:t xml:space="preserve">(Majowicz et al. 2010)</w:t>
      </w:r>
      <w:r>
        <w:t xml:space="preserve">. In the United States alone, 1.35 million cases of</w:t>
      </w:r>
      <w:r>
        <w:t xml:space="preserve"> </w:t>
      </w:r>
      <w:r>
        <w:t xml:space="preserve">salmonellosis and 420 deaths are reported annually</w:t>
      </w:r>
      <w:r>
        <w:t xml:space="preserve"> </w:t>
      </w:r>
      <w:r>
        <w:t xml:space="preserve">(Centers for Disease Control and Prevention 2021a)</w:t>
      </w:r>
      <w:r>
        <w:t xml:space="preserve">. Most cases of human</w:t>
      </w:r>
      <w:r>
        <w:t xml:space="preserve"> </w:t>
      </w:r>
      <w:r>
        <w:t xml:space="preserve">salmonellosis are caused by food-borne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strains associated</w:t>
      </w:r>
      <w:r>
        <w:t xml:space="preserve"> </w:t>
      </w:r>
      <w:r>
        <w:t xml:space="preserve">with produce or undercooked meat. However, a rising subset of human</w:t>
      </w:r>
      <w:r>
        <w:t xml:space="preserve"> </w:t>
      </w:r>
      <w:r>
        <w:t xml:space="preserve">infections are often associated with unidentified environmental</w:t>
      </w:r>
      <w:r>
        <w:t xml:space="preserve"> </w:t>
      </w:r>
      <w:r>
        <w:t xml:space="preserve">exposures or contact with animals</w:t>
      </w:r>
      <w:r>
        <w:t xml:space="preserve"> </w:t>
      </w:r>
      <w:r>
        <w:t xml:space="preserve">(Centers for Disease Control and Prevention 2016)</w:t>
      </w:r>
      <w:r>
        <w:t xml:space="preserve">.</w:t>
      </w:r>
    </w:p>
    <w:p>
      <w:pPr>
        <w:pStyle w:val="BodyText"/>
      </w:pPr>
      <w:r>
        <w:t xml:space="preserve">The American white ibis (Eudocimus albus), forms large nesting colonies</w:t>
      </w:r>
      <w:r>
        <w:t xml:space="preserve"> </w:t>
      </w:r>
      <w:r>
        <w:t xml:space="preserve">in natural wetlands. However, due to habitat destruction in Everglades</w:t>
      </w:r>
      <w:r>
        <w:t xml:space="preserve"> </w:t>
      </w:r>
      <w:r>
        <w:t xml:space="preserve">National Park, this gregarious member of the Pelecaniformes, has begun</w:t>
      </w:r>
      <w:r>
        <w:t xml:space="preserve"> </w:t>
      </w:r>
      <w:r>
        <w:t xml:space="preserve">to urbanize parks with abundant anthropgenic food and water resources</w:t>
      </w:r>
      <w:r>
        <w:t xml:space="preserve"> </w:t>
      </w:r>
      <w:r>
        <w:t xml:space="preserve">throughout South Florida. Infection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spp. in American</w:t>
      </w:r>
      <w:r>
        <w:t xml:space="preserve"> </w:t>
      </w:r>
      <w:r>
        <w:t xml:space="preserve">white ibis is well documented. It has been found that ibis can harbor</w:t>
      </w:r>
      <w:r>
        <w:t xml:space="preserve"> </w:t>
      </w:r>
      <w:r>
        <w:t xml:space="preserve">diverse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strains and shed it at a higher prevalence than</w:t>
      </w:r>
      <w:r>
        <w:t xml:space="preserve"> </w:t>
      </w:r>
      <w:r>
        <w:t xml:space="preserve">their natural counterparts</w:t>
      </w:r>
      <w:r>
        <w:t xml:space="preserve"> </w:t>
      </w:r>
      <w:r>
        <w:t xml:space="preserve">(Hernandez et al. 2016)</w:t>
      </w:r>
      <w:r>
        <w:t xml:space="preserve">. Studies have genetically</w:t>
      </w:r>
      <w:r>
        <w:t xml:space="preserve"> </w:t>
      </w:r>
      <w:r>
        <w:t xml:space="preserve">matched the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shed by ibis to human salmonellosis cases in</w:t>
      </w:r>
      <w:r>
        <w:t xml:space="preserve"> </w:t>
      </w:r>
      <w:r>
        <w:t xml:space="preserve">South Florida during the same time period ibis were sampled</w:t>
      </w:r>
      <w:r>
        <w:t xml:space="preserve"> </w:t>
      </w:r>
      <w:r>
        <w:t xml:space="preserve">(Hernandez et al. 2016)</w:t>
      </w:r>
      <w:r>
        <w:t xml:space="preserve">.</w:t>
      </w:r>
    </w:p>
    <w:p>
      <w:pPr>
        <w:pStyle w:val="BodyText"/>
      </w:pPr>
      <w:r>
        <w:t xml:space="preserve">Similarly, in 2021, following an epidemiological investigation of 29</w:t>
      </w:r>
      <w:r>
        <w:t xml:space="preserve"> </w:t>
      </w:r>
      <w:r>
        <w:t xml:space="preserve">human cases of</w:t>
      </w:r>
      <w:r>
        <w:t xml:space="preserve"> </w:t>
      </w:r>
      <w:r>
        <w:rPr>
          <w:iCs/>
          <w:i/>
        </w:rPr>
        <w:t xml:space="preserve">Salmonella enterica</w:t>
      </w:r>
      <w:r>
        <w:t xml:space="preserve"> </w:t>
      </w:r>
      <w:r>
        <w:t xml:space="preserve">serovar Typhimurium (</w:t>
      </w:r>
      <w:r>
        <w:rPr>
          <w:iCs/>
          <w:i/>
        </w:rPr>
        <w:t xml:space="preserve">S.</w:t>
      </w:r>
      <w:r>
        <w:t xml:space="preserve"> </w:t>
      </w:r>
      <w:r>
        <w:t xml:space="preserve">Typhimurium), the Centers for Disease Control and Prevention (CDC)</w:t>
      </w:r>
      <w:r>
        <w:t xml:space="preserve"> </w:t>
      </w:r>
      <w:r>
        <w:t xml:space="preserve">documented a relationship between human cases and a concurrent avian</w:t>
      </w:r>
      <w:r>
        <w:t xml:space="preserve"> </w:t>
      </w:r>
      <w:r>
        <w:t xml:space="preserve">salmonellosis outbreak. Of the 29 cases, 14 individuals were</w:t>
      </w:r>
      <w:r>
        <w:t xml:space="preserve"> </w:t>
      </w:r>
      <w:r>
        <w:t xml:space="preserve">hospitalized and the outbreak was likely due to contact with bird</w:t>
      </w:r>
      <w:r>
        <w:t xml:space="preserve"> </w:t>
      </w:r>
      <w:r>
        <w:t xml:space="preserve">feeders, sick or dead wild birds, or pets that had contact with wild</w:t>
      </w:r>
      <w:r>
        <w:t xml:space="preserve"> </w:t>
      </w:r>
      <w:r>
        <w:t xml:space="preserve">birds</w:t>
      </w:r>
      <w:r>
        <w:t xml:space="preserve"> </w:t>
      </w:r>
      <w:r>
        <w:t xml:space="preserve">(Centers for Disease Control and Prevention 2021b)</w:t>
      </w:r>
      <w:r>
        <w:t xml:space="preserve">.</w:t>
      </w:r>
    </w:p>
    <w:p>
      <w:pPr>
        <w:pStyle w:val="BodyText"/>
      </w:pPr>
      <w:r>
        <w:t xml:space="preserve">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be affected by ambient temperature,</w:t>
      </w:r>
      <w:r>
        <w:t xml:space="preserve"> </w:t>
      </w:r>
      <w:r>
        <w:t xml:space="preserve">presence/absence of a biofilm, and environmental nutrient conditions</w:t>
      </w:r>
      <w:r>
        <w:t xml:space="preserve"> </w:t>
      </w:r>
      <w:r>
        <w:t xml:space="preserve">(Will, Diesch, and Pomeroy 1973; Davies and Wray 1995; Barker and Bloomfield 2000; Renner 2002)</w:t>
      </w:r>
      <w:r>
        <w:t xml:space="preserve">. Under ideal</w:t>
      </w:r>
      <w:r>
        <w:t xml:space="preserve"> </w:t>
      </w:r>
      <w:r>
        <w:t xml:space="preserve">conditions (e.g. optimal temperature 35-43°C, pH 7-7.5, etc.),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 known to persist in the environment for extended periods</w:t>
      </w:r>
      <w:r>
        <w:t xml:space="preserve"> </w:t>
      </w:r>
      <w:r>
        <w:t xml:space="preserve">of time. While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 has been examined on soil and</w:t>
      </w:r>
      <w:r>
        <w:t xml:space="preserve"> </w:t>
      </w:r>
      <w:r>
        <w:t xml:space="preserve">poultry litter, there is a lack of understanding of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various surfaces including wood, plastic, and surfaces</w:t>
      </w:r>
      <w:r>
        <w:t xml:space="preserve"> </w:t>
      </w:r>
      <w:r>
        <w:t xml:space="preserve">lined with antimicrobial coatings.</w:t>
      </w:r>
    </w:p>
    <w:bookmarkStart w:id="21" w:name="data-acquisition"/>
    <w:p>
      <w:pPr>
        <w:pStyle w:val="Heading2"/>
      </w:pPr>
      <w:r>
        <w:t xml:space="preserve">2.1</w:t>
      </w:r>
      <w:r>
        <w:t xml:space="preserve"> </w:t>
      </w:r>
      <w:r>
        <w:rPr>
          <w:bCs/>
          <w:b/>
        </w:rPr>
        <w:t xml:space="preserve">Data acquisition</w:t>
      </w:r>
    </w:p>
    <w:p>
      <w:pPr>
        <w:pStyle w:val="FirstParagraph"/>
      </w:pPr>
      <w:r>
        <w:t xml:space="preserve">The data from the Picnic Table Trial in South Florida was collected by</w:t>
      </w:r>
      <w:r>
        <w:t xml:space="preserve"> </w:t>
      </w:r>
      <w:r>
        <w:t xml:space="preserve">an undergraduate student of Dr. Sonia M. Hernandez and provided to me by</w:t>
      </w:r>
      <w:r>
        <w:t xml:space="preserve"> </w:t>
      </w:r>
      <w:r>
        <w:t xml:space="preserve">Dr. Hernandez. All data from the Feeder Trial was collected by me,</w:t>
      </w:r>
      <w:r>
        <w:t xml:space="preserve"> </w:t>
      </w:r>
      <w:r>
        <w:t xml:space="preserve">Kimberly Perez under the guidance of Dr. Sonia Hernandez.</w:t>
      </w:r>
    </w:p>
    <w:bookmarkEnd w:id="21"/>
    <w:bookmarkStart w:id="22" w:name="description-of-data-and-data-source"/>
    <w:p>
      <w:pPr>
        <w:pStyle w:val="Heading2"/>
      </w:pPr>
      <w:r>
        <w:t xml:space="preserve">2.2</w:t>
      </w:r>
      <w:r>
        <w:t xml:space="preserve"> </w:t>
      </w:r>
      <w:r>
        <w:rPr>
          <w:bCs/>
          <w:b/>
        </w:rPr>
        <w:t xml:space="preserve">Description of data and data source</w:t>
      </w:r>
    </w:p>
    <w:p>
      <w:pPr>
        <w:pStyle w:val="FirstParagraph"/>
      </w:pPr>
      <w:r>
        <w:t xml:space="preserve">The data selected for this project is persistence and prevalence data</w:t>
      </w:r>
      <w:r>
        <w:t xml:space="preserve"> </w:t>
      </w:r>
      <w:r>
        <w:t xml:space="preserve">from two trial studies. The first trial was conducted in South Florida</w:t>
      </w:r>
      <w:r>
        <w:t xml:space="preserve"> </w:t>
      </w:r>
      <w:r>
        <w:t xml:space="preserve">where picnic tables, under the same pavilion and exposed to conditions</w:t>
      </w:r>
      <w:r>
        <w:t xml:space="preserve"> </w:t>
      </w:r>
      <w:r>
        <w:t xml:space="preserve">known to affect</w:t>
      </w:r>
      <w:r>
        <w:t xml:space="preserve"> </w:t>
      </w:r>
      <w:r>
        <w:rPr>
          <w:iCs/>
          <w:i/>
        </w:rPr>
        <w:t xml:space="preserve">Salmonella</w:t>
      </w:r>
      <w:r>
        <w:t xml:space="preserve">, were selected, swabbed daily for a week</w:t>
      </w:r>
      <w:r>
        <w:t xml:space="preserve"> </w:t>
      </w:r>
      <w:r>
        <w:t xml:space="preserve">and shipped back to the University of Georgia for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isolation. The second trial was conducted in Athens, Georgia, at</w:t>
      </w:r>
      <w:r>
        <w:t xml:space="preserve"> </w:t>
      </w:r>
      <w:r>
        <w:t xml:space="preserve">Whitehall Forest in a modified shade house. Bird feeders of different</w:t>
      </w:r>
      <w:r>
        <w:t xml:space="preserve"> </w:t>
      </w:r>
      <w:r>
        <w:t xml:space="preserve">materials (e.g., cedar, plastic, plastic coated, and wood coated) were</w:t>
      </w:r>
      <w:r>
        <w:t xml:space="preserve"> </w:t>
      </w:r>
      <w:r>
        <w:t xml:space="preserve">hung in triplicate and seeded with an isolate of</w:t>
      </w:r>
      <w:r>
        <w:t xml:space="preserve"> </w:t>
      </w:r>
      <w:r>
        <w:rPr>
          <w:iCs/>
          <w:i/>
        </w:rPr>
        <w:t xml:space="preserve">S.</w:t>
      </w:r>
      <w:r>
        <w:t xml:space="preserve"> </w:t>
      </w:r>
      <w:r>
        <w:t xml:space="preserve">Typhimurium</w:t>
      </w:r>
      <w:r>
        <w:t xml:space="preserve"> </w:t>
      </w:r>
      <w:r>
        <w:t xml:space="preserve">isolated from a songbird.</w:t>
      </w:r>
    </w:p>
    <w:p>
      <w:pPr>
        <w:pStyle w:val="BodyText"/>
      </w:pPr>
      <w:r>
        <w:t xml:space="preserve">The data from the first trial in South Florida was collected by an</w:t>
      </w:r>
      <w:r>
        <w:t xml:space="preserve"> </w:t>
      </w:r>
      <w:r>
        <w:t xml:space="preserve">undergraduate student of Dr. Sonia Hernandez and provided to me by Dr.</w:t>
      </w:r>
      <w:r>
        <w:t xml:space="preserve"> </w:t>
      </w:r>
      <w:r>
        <w:t xml:space="preserve">Hernandez. All data from the Feeder Trial was collected by me, Kimberly</w:t>
      </w:r>
      <w:r>
        <w:t xml:space="preserve"> </w:t>
      </w:r>
      <w:r>
        <w:t xml:space="preserve">Perez under the guidance of Dr. Sonia Hernandez.</w:t>
      </w:r>
    </w:p>
    <w:p>
      <w:pPr>
        <w:pStyle w:val="BodyText"/>
      </w:pPr>
      <w:r>
        <w:t xml:space="preserve">The Picnic Table Trial data is composed of several worksheets embedded</w:t>
      </w:r>
      <w:r>
        <w:t xml:space="preserve"> </w:t>
      </w:r>
      <w:r>
        <w:t xml:space="preserve">in one excel file. After viewing the file, 192 observations were</w:t>
      </w:r>
      <w:r>
        <w:t xml:space="preserve"> </w:t>
      </w:r>
      <w:r>
        <w:t xml:space="preserve">returned. Feeder Trial data was collected and noted upon confirmation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from processed samples. The Feeder Trial data returned 144</w:t>
      </w:r>
      <w:r>
        <w:t xml:space="preserve"> </w:t>
      </w:r>
      <w:r>
        <w:t xml:space="preserve">observations for the nearly two months of sample collection. Both trials</w:t>
      </w:r>
      <w:r>
        <w:t xml:space="preserve"> </w:t>
      </w:r>
      <w:r>
        <w:t xml:space="preserve">were designed to determine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. The Picnic</w:t>
      </w:r>
      <w:r>
        <w:t xml:space="preserve"> </w:t>
      </w:r>
      <w:r>
        <w:t xml:space="preserve">Table Trial also collected data in an attempt to determine prevalence.</w:t>
      </w:r>
    </w:p>
    <w:bookmarkEnd w:id="22"/>
    <w:bookmarkStart w:id="23" w:name="questionshypotheses-to-be-addressed"/>
    <w:p>
      <w:pPr>
        <w:pStyle w:val="Heading2"/>
      </w:pPr>
      <w:r>
        <w:t xml:space="preserve">2.3</w:t>
      </w:r>
      <w:r>
        <w:t xml:space="preserve"> </w:t>
      </w:r>
      <w:r>
        <w:rPr>
          <w:bCs/>
          <w:b/>
        </w:rPr>
        <w:t xml:space="preserve">Questions/Hypotheses to be addressed</w:t>
      </w:r>
    </w:p>
    <w:p>
      <w:pPr>
        <w:pStyle w:val="FirstParagraph"/>
      </w:pPr>
      <w:r>
        <w:t xml:space="preserve">Given the uncertainty of</w:t>
      </w:r>
      <w:r>
        <w:t xml:space="preserve"> </w:t>
      </w:r>
      <w:r>
        <w:rPr>
          <w:iCs/>
          <w:i/>
        </w:rPr>
        <w:t xml:space="preserve">Salmonella’s</w:t>
      </w:r>
      <w:r>
        <w:t xml:space="preserve"> </w:t>
      </w:r>
      <w:r>
        <w:t xml:space="preserve">persistence on various surface</w:t>
      </w:r>
      <w:r>
        <w:t xml:space="preserve"> </w:t>
      </w:r>
      <w:r>
        <w:t xml:space="preserve">materials, questions such as:</w:t>
      </w:r>
    </w:p>
    <w:p>
      <w:pPr>
        <w:numPr>
          <w:ilvl w:val="0"/>
          <w:numId w:val="1001"/>
        </w:numPr>
      </w:pPr>
      <w:r>
        <w:t xml:space="preserve">What is the prevalence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over time?</w:t>
      </w:r>
    </w:p>
    <w:p>
      <w:pPr>
        <w:numPr>
          <w:ilvl w:val="0"/>
          <w:numId w:val="1001"/>
        </w:numPr>
      </w:pPr>
      <w:r>
        <w:t xml:space="preserve">How long does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 on different surface materials</w:t>
      </w:r>
      <w:r>
        <w:t xml:space="preserve"> </w:t>
      </w:r>
      <w:r>
        <w:t xml:space="preserve">(e.g., wood, plastic, and those with an antimicrobial coating)?</w:t>
      </w:r>
    </w:p>
    <w:p>
      <w:pPr>
        <w:numPr>
          <w:ilvl w:val="0"/>
          <w:numId w:val="1001"/>
        </w:numPr>
      </w:pPr>
      <w:r>
        <w:t xml:space="preserve">Is there a greater risk of acquiring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from objects that</w:t>
      </w:r>
      <w:r>
        <w:t xml:space="preserve"> </w:t>
      </w:r>
      <w:r>
        <w:t xml:space="preserve">both humans and animals use (e.g. picnic tables in parks)?</w:t>
      </w:r>
    </w:p>
    <w:p>
      <w:pPr>
        <w:pStyle w:val="FirstParagraph"/>
      </w:pPr>
      <w:r>
        <w:t xml:space="preserve">From these questions, we hope to better inform the public and public</w:t>
      </w:r>
      <w:r>
        <w:t xml:space="preserve"> </w:t>
      </w:r>
      <w:r>
        <w:t xml:space="preserve">health practitioners on safer feeder handling methods and precautions to</w:t>
      </w:r>
      <w:r>
        <w:t xml:space="preserve"> </w:t>
      </w:r>
      <w:r>
        <w:t xml:space="preserve">take when frequenting public locations where humans and wildlife (e.g.,</w:t>
      </w:r>
      <w:r>
        <w:t xml:space="preserve"> </w:t>
      </w:r>
      <w:r>
        <w:t xml:space="preserve">ibis) interact.</w:t>
      </w:r>
    </w:p>
    <w:bookmarkEnd w:id="23"/>
    <w:bookmarkEnd w:id="24"/>
    <w:bookmarkStart w:id="29" w:name="methods"/>
    <w:p>
      <w:pPr>
        <w:pStyle w:val="Heading1"/>
      </w:pPr>
      <w:r>
        <w:t xml:space="preserve">3. </w:t>
      </w:r>
      <w:r>
        <w:rPr>
          <w:bCs/>
          <w:b/>
        </w:rPr>
        <w:t xml:space="preserve">Methods</w:t>
      </w:r>
    </w:p>
    <w:bookmarkStart w:id="25" w:name="X2e6a9ba6b7b776361e809a959cef7b3fbeb86c1"/>
    <w:p>
      <w:pPr>
        <w:pStyle w:val="Heading2"/>
      </w:pPr>
      <w:r>
        <w:t xml:space="preserve">3.1</w:t>
      </w:r>
      <w:r>
        <w:t xml:space="preserve"> </w:t>
      </w:r>
      <w:r>
        <w:rPr>
          <w:bCs/>
          <w:b/>
        </w:rPr>
        <w:t xml:space="preserve">Ibis Picnic Table Trial Experimental Design and Sample Collection Methodology</w:t>
      </w:r>
    </w:p>
    <w:p>
      <w:pPr>
        <w:pStyle w:val="FirstParagraph"/>
      </w:pPr>
      <w:r>
        <w:t xml:space="preserve">The ibis picnic table trial was conducted at Dreher Park, a public park</w:t>
      </w:r>
      <w:r>
        <w:t xml:space="preserve"> </w:t>
      </w:r>
      <w:r>
        <w:t xml:space="preserve">in Palm Beach County frequented by white ibis who are known to carry</w:t>
      </w:r>
      <w:r>
        <w:t xml:space="preserve"> </w:t>
      </w:r>
      <w:r>
        <w:rPr>
          <w:iCs/>
          <w:i/>
        </w:rPr>
        <w:t xml:space="preserve">Salmonella</w:t>
      </w:r>
      <w:r>
        <w:t xml:space="preserve">. Because humans and ibis both utilize the wooden picnic</w:t>
      </w:r>
      <w:r>
        <w:t xml:space="preserve"> </w:t>
      </w:r>
      <w:r>
        <w:t xml:space="preserve">tables at the park, three tables under a single pavilion with similar</w:t>
      </w:r>
      <w:r>
        <w:t xml:space="preserve"> </w:t>
      </w:r>
      <w:r>
        <w:t xml:space="preserve">environmental conditions (e.g., exposure to sunlight, rainfall, etc.)</w:t>
      </w:r>
      <w:r>
        <w:t xml:space="preserve"> </w:t>
      </w:r>
      <w:r>
        <w:t xml:space="preserve">were selected. All tables were divided into four quadrants (e.g.,</w:t>
      </w:r>
      <w:r>
        <w:t xml:space="preserve"> </w:t>
      </w:r>
      <w:r>
        <w:t xml:space="preserve">tabletop plus bench) and ibis were encouraged to feed on the picnic</w:t>
      </w:r>
      <w:r>
        <w:t xml:space="preserve"> </w:t>
      </w:r>
      <w:r>
        <w:t xml:space="preserve">tables until they deficated. Pictures were taken of every quadrant daily</w:t>
      </w:r>
      <w:r>
        <w:t xml:space="preserve"> </w:t>
      </w:r>
      <w:r>
        <w:t xml:space="preserve">to facilitate the counting of new fecal piles. If feces were not</w:t>
      </w:r>
      <w:r>
        <w:t xml:space="preserve"> </w:t>
      </w:r>
      <w:r>
        <w:t xml:space="preserve">deposited in a quadrant, fresh feces from the concrete pad was collected</w:t>
      </w:r>
      <w:r>
        <w:t xml:space="preserve"> </w:t>
      </w:r>
      <w:r>
        <w:t xml:space="preserve">and placed onto the quadrant. To determine persistence, one large fecal</w:t>
      </w:r>
      <w:r>
        <w:t xml:space="preserve"> </w:t>
      </w:r>
      <w:r>
        <w:t xml:space="preserve">pile from each quadrant was selected as the</w:t>
      </w:r>
      <w:r>
        <w:t xml:space="preserve"> </w:t>
      </w:r>
      <w:r>
        <w:t xml:space="preserve">“</w:t>
      </w:r>
      <w:r>
        <w:t xml:space="preserve">persistence pile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monitored and sampled daily for 8 days. To determine table prevalence, a</w:t>
      </w:r>
      <w:r>
        <w:t xml:space="preserve"> </w:t>
      </w:r>
      <w:r>
        <w:t xml:space="preserve">pooled sample was taken daily from every quadrant by swabbing the picnic</w:t>
      </w:r>
      <w:r>
        <w:t xml:space="preserve"> </w:t>
      </w:r>
      <w:r>
        <w:t xml:space="preserve">table surface with a sampling sponge, avoiding the designated</w:t>
      </w:r>
      <w:r>
        <w:t xml:space="preserve"> </w:t>
      </w:r>
      <w:r>
        <w:t xml:space="preserve">“</w:t>
      </w:r>
      <w:r>
        <w:t xml:space="preserve">persistence pile</w:t>
      </w:r>
      <w:r>
        <w:t xml:space="preserve">”</w:t>
      </w:r>
      <w:r>
        <w:t xml:space="preserve">. To maintain cleanliness for other park patrons, new</w:t>
      </w:r>
      <w:r>
        <w:t xml:space="preserve"> </w:t>
      </w:r>
      <w:r>
        <w:t xml:space="preserve">piles were not smeared with the sampling sponge. Samples were placed</w:t>
      </w:r>
      <w:r>
        <w:t xml:space="preserve"> </w:t>
      </w:r>
      <w:r>
        <w:t xml:space="preserve">into 20 mL of dulcitol selenite and maintained at room temperature prior</w:t>
      </w:r>
      <w:r>
        <w:t xml:space="preserve"> </w:t>
      </w:r>
      <w:r>
        <w:t xml:space="preserve">to being shipped to the University of Georgia (UGA), every 2-4 days, for</w:t>
      </w:r>
      <w:r>
        <w:t xml:space="preserve"> </w:t>
      </w:r>
      <w:r>
        <w:t xml:space="preserve">processing.</w:t>
      </w:r>
    </w:p>
    <w:bookmarkEnd w:id="25"/>
    <w:bookmarkStart w:id="26" w:name="Xbf031b592c1f7c98a316b9861b9b93d7af9af04"/>
    <w:p>
      <w:pPr>
        <w:pStyle w:val="Heading2"/>
      </w:pPr>
      <w:r>
        <w:t xml:space="preserve">3.2</w:t>
      </w:r>
      <w:r>
        <w:t xml:space="preserve"> </w:t>
      </w:r>
      <w:r>
        <w:rPr>
          <w:bCs/>
          <w:b/>
        </w:rPr>
        <w:t xml:space="preserve">Feeder Trial Experimental Design and Sample Collection Methodology</w:t>
      </w:r>
    </w:p>
    <w:p>
      <w:pPr>
        <w:pStyle w:val="FirstParagraph"/>
      </w:pPr>
      <w:r>
        <w:t xml:space="preserve">Our Feeder trial aimed to assess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four</w:t>
      </w:r>
      <w:r>
        <w:t xml:space="preserve"> </w:t>
      </w:r>
      <w:r>
        <w:t xml:space="preserve">types of feeders (cedar, plastic, cedar + antimicrobial coating, and</w:t>
      </w:r>
      <w:r>
        <w:t xml:space="preserve"> </w:t>
      </w:r>
      <w:r>
        <w:t xml:space="preserve">plastic + antimicrobial coating) in Georgia. 18 g of fresh chicken feces</w:t>
      </w:r>
      <w:r>
        <w:t xml:space="preserve"> </w:t>
      </w:r>
      <w:r>
        <w:t xml:space="preserve">was collected, homogenized, 1 g was aliquoted into individual 15 mL test</w:t>
      </w:r>
      <w:r>
        <w:t xml:space="preserve"> </w:t>
      </w:r>
      <w:r>
        <w:t xml:space="preserve">tubes, then sterilized through autoclaving. The individual alioquots</w:t>
      </w:r>
      <w:r>
        <w:t xml:space="preserve"> </w:t>
      </w:r>
      <w:r>
        <w:t xml:space="preserve">were then inoculated with 1.5x10^7 mL of a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Typhimurium</w:t>
      </w:r>
      <w:r>
        <w:t xml:space="preserve"> </w:t>
      </w:r>
      <w:r>
        <w:t xml:space="preserve">isolate responsible for a previous avian salmonellosis outbreak. Samples</w:t>
      </w:r>
      <w:r>
        <w:t xml:space="preserve"> </w:t>
      </w:r>
      <w:r>
        <w:t xml:space="preserve">were then transported to a modified shade house at Whitehall Forest</w:t>
      </w:r>
      <w:r>
        <w:t xml:space="preserve"> </w:t>
      </w:r>
      <w:r>
        <w:t xml:space="preserve">where four feeder types, represented in triplicate and randomized, were</w:t>
      </w:r>
      <w:r>
        <w:t xml:space="preserve"> </w:t>
      </w:r>
      <w:r>
        <w:t xml:space="preserve">seeded with 1 g of inoculated feces and 0.5 mL of sterile physiologic</w:t>
      </w:r>
      <w:r>
        <w:t xml:space="preserve"> </w:t>
      </w:r>
      <w:r>
        <w:t xml:space="preserve">saline. Feeders were then swabbed daily for one week, every other day</w:t>
      </w:r>
      <w:r>
        <w:t xml:space="preserve"> </w:t>
      </w:r>
      <w:r>
        <w:t xml:space="preserve">for one week, and weekly for an additional week. Swabs were embedded</w:t>
      </w:r>
      <w:r>
        <w:t xml:space="preserve"> </w:t>
      </w:r>
      <w:r>
        <w:t xml:space="preserve">into 10 mL of dulcitol selenite broth and transported back to UGA for</w:t>
      </w:r>
      <w:r>
        <w:t xml:space="preserve"> </w:t>
      </w:r>
      <w:r>
        <w:t xml:space="preserve">processing.</w:t>
      </w:r>
    </w:p>
    <w:bookmarkEnd w:id="26"/>
    <w:bookmarkStart w:id="27" w:name="sample-processing-methodology"/>
    <w:p>
      <w:pPr>
        <w:pStyle w:val="Heading2"/>
      </w:pPr>
      <w:r>
        <w:t xml:space="preserve">3.3</w:t>
      </w:r>
      <w:r>
        <w:t xml:space="preserve"> </w:t>
      </w:r>
      <w:r>
        <w:rPr>
          <w:bCs/>
          <w:b/>
        </w:rPr>
        <w:t xml:space="preserve">Sample Processing Methodology</w:t>
      </w:r>
    </w:p>
    <w:p>
      <w:pPr>
        <w:pStyle w:val="FirstParagraph"/>
      </w:pPr>
      <w:r>
        <w:t xml:space="preserve">After collection, dulcitol selenite was incubated overnight at 37°c,</w:t>
      </w:r>
      <w:r>
        <w:t xml:space="preserve"> </w:t>
      </w:r>
      <w:r>
        <w:t xml:space="preserve">before 100 uL of the sample vortexed in dulcitol selentite was</w:t>
      </w:r>
      <w:r>
        <w:t xml:space="preserve"> </w:t>
      </w:r>
      <w:r>
        <w:t xml:space="preserve">inoculated into 10 mL of Rappaport Vassiliadis (RV) broth. The broth was</w:t>
      </w:r>
      <w:r>
        <w:t xml:space="preserve"> </w:t>
      </w:r>
      <w:r>
        <w:t xml:space="preserve">incubated for 24 hours at 37°c. The RV broth was then streaked onto</w:t>
      </w:r>
      <w:r>
        <w:t xml:space="preserve"> </w:t>
      </w:r>
      <w:r>
        <w:t xml:space="preserve">XLT-4 agar plates and incubated at 37°c for 24 hours, then an additional</w:t>
      </w:r>
      <w:r>
        <w:t xml:space="preserve"> </w:t>
      </w:r>
      <w:r>
        <w:t xml:space="preserve">24 hours on the lab bench at room temperature. If colonies</w:t>
      </w:r>
      <w:r>
        <w:t xml:space="preserve"> </w:t>
      </w:r>
      <w:r>
        <w:t xml:space="preserve">morphometrically consistent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were present, one colony</w:t>
      </w:r>
      <w:r>
        <w:t xml:space="preserve"> </w:t>
      </w:r>
      <w:r>
        <w:t xml:space="preserve">per plate was chosen and a stab in Luria Broth (LB) agar was created. To</w:t>
      </w:r>
      <w:r>
        <w:t xml:space="preserve"> </w:t>
      </w:r>
      <w:r>
        <w:t xml:space="preserve">confirm the presence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, patch plates were made on</w:t>
      </w:r>
      <w:r>
        <w:t xml:space="preserve"> </w:t>
      </w:r>
      <w:r>
        <w:t xml:space="preserve">ChromAgar using the stabbed colonies. If the patches turned magenta,</w:t>
      </w:r>
      <w:r>
        <w:t xml:space="preserve"> </w:t>
      </w:r>
      <w:r>
        <w:t xml:space="preserve">that indicated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samples. A blue color indicated</w:t>
      </w:r>
      <w:r>
        <w:t xml:space="preserve"> </w:t>
      </w:r>
      <w:r>
        <w:t xml:space="preserve">something other than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(Maurer et al. 2015)</w:t>
      </w:r>
      <w:r>
        <w:t xml:space="preserve">.</w:t>
      </w:r>
    </w:p>
    <w:bookmarkEnd w:id="27"/>
    <w:bookmarkStart w:id="28" w:name="data-processing-methodology"/>
    <w:p>
      <w:pPr>
        <w:pStyle w:val="Heading2"/>
      </w:pPr>
      <w:r>
        <w:t xml:space="preserve">3.4</w:t>
      </w:r>
      <w:r>
        <w:t xml:space="preserve"> </w:t>
      </w:r>
      <w:r>
        <w:rPr>
          <w:bCs/>
          <w:b/>
        </w:rPr>
        <w:t xml:space="preserve">Data Processing Methodology</w:t>
      </w:r>
    </w:p>
    <w:p>
      <w:pPr>
        <w:pStyle w:val="FirstParagraph"/>
      </w:pPr>
      <w:r>
        <w:t xml:space="preserve">Before attention can be focused on the data analysis portion, removal of</w:t>
      </w:r>
      <w:r>
        <w:t xml:space="preserve"> </w:t>
      </w:r>
      <w:r>
        <w:t xml:space="preserve">unnecessary variables and visualizing data will provide a clearer</w:t>
      </w:r>
      <w:r>
        <w:t xml:space="preserve"> </w:t>
      </w:r>
      <w:r>
        <w:t xml:space="preserve">picture of the data. This section will focus on data cleaning and</w:t>
      </w:r>
      <w:r>
        <w:t xml:space="preserve"> </w:t>
      </w:r>
      <w:r>
        <w:t xml:space="preserve">wrangling. First, both datasets must be loaded. Prior to loading any</w:t>
      </w:r>
      <w:r>
        <w:t xml:space="preserve"> </w:t>
      </w:r>
      <w:r>
        <w:t xml:space="preserve">data into RStudio, ensure that a new Quarto or RMarkdown File is</w:t>
      </w:r>
      <w:r>
        <w:t xml:space="preserve"> </w:t>
      </w:r>
      <w:r>
        <w:t xml:space="preserve">established and linked to the preferred working directory. Basic</w:t>
      </w:r>
      <w:r>
        <w:t xml:space="preserve"> </w:t>
      </w:r>
      <w:r>
        <w:t xml:space="preserve">packages need to be loaded to read in the data. Such packages to</w:t>
      </w:r>
      <w:r>
        <w:t xml:space="preserve"> </w:t>
      </w:r>
      <w:r>
        <w:t xml:space="preserve">download include read_csv(), read_excel(), and here(), each of which can</w:t>
      </w:r>
      <w:r>
        <w:t xml:space="preserve"> </w:t>
      </w:r>
      <w:r>
        <w:t xml:space="preserve">be loaded by utilizing the library() function (e.g., library(here)).</w:t>
      </w:r>
      <w:r>
        <w:t xml:space="preserve"> </w:t>
      </w:r>
      <w:r>
        <w:t xml:space="preserve">Next, the datasets from both the Ibis and Feeder trials are loaded into</w:t>
      </w:r>
      <w:r>
        <w:t xml:space="preserve"> </w:t>
      </w:r>
      <w:r>
        <w:t xml:space="preserve">RStudio utilizing the appropriate function (e.g., read_csv() for .csv</w:t>
      </w:r>
      <w:r>
        <w:t xml:space="preserve"> </w:t>
      </w:r>
      <w:r>
        <w:t xml:space="preserve">files and read_excel() for .xlsx files). After data is loaded into R, it</w:t>
      </w:r>
      <w:r>
        <w:t xml:space="preserve"> </w:t>
      </w:r>
      <w:r>
        <w:t xml:space="preserve">is best to get acquainted with the data by utilizing basic functions</w:t>
      </w:r>
      <w:r>
        <w:t xml:space="preserve"> </w:t>
      </w:r>
      <w:r>
        <w:t xml:space="preserve">such as glimpse(). Glimpse provides users with insight into the data</w:t>
      </w:r>
      <w:r>
        <w:t xml:space="preserve"> </w:t>
      </w:r>
      <w:r>
        <w:t xml:space="preserve">such as column names, number of rows and how each row is classified</w:t>
      </w:r>
      <w:r>
        <w:t xml:space="preserve"> </w:t>
      </w:r>
      <w:r>
        <w:t xml:space="preserve">(e.g., character or numeric). After viewing the data, cleaning the data</w:t>
      </w:r>
      <w:r>
        <w:t xml:space="preserve"> </w:t>
      </w:r>
      <w:r>
        <w:t xml:space="preserve">by removing unnecessary variables can occur.</w:t>
      </w:r>
    </w:p>
    <w:p>
      <w:pPr>
        <w:pStyle w:val="BodyText"/>
      </w:pPr>
      <w:r>
        <w:t xml:space="preserve">Ensuring the data is uniform by removing unnecessary variables and</w:t>
      </w:r>
      <w:r>
        <w:t xml:space="preserve"> </w:t>
      </w:r>
      <w:r>
        <w:t xml:space="preserve">renaming columns will assist in the analysis process downstream. To</w:t>
      </w:r>
      <w:r>
        <w:t xml:space="preserve"> </w:t>
      </w:r>
      <w:r>
        <w:t xml:space="preserve">begin,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responses should be coded to produce a 1, while</w:t>
      </w:r>
      <w:r>
        <w:t xml:space="preserve"> </w:t>
      </w:r>
      <w:r>
        <w:rPr>
          <w:iCs/>
          <w:i/>
        </w:rPr>
        <w:t xml:space="preserve">NAs</w:t>
      </w:r>
      <w:r>
        <w:t xml:space="preserve"> </w:t>
      </w:r>
      <w:r>
        <w:t xml:space="preserve">would</w:t>
      </w:r>
      <w:r>
        <w:t xml:space="preserve"> </w:t>
      </w:r>
      <w:r>
        <w:t xml:space="preserve">produce a 0. Given the variability in the column names, standardizing or</w:t>
      </w:r>
      <w:r>
        <w:t xml:space="preserve"> </w:t>
      </w:r>
      <w:r>
        <w:t xml:space="preserve">renaming them a preferred name I will streamline future coding or</w:t>
      </w:r>
      <w:r>
        <w:t xml:space="preserve"> </w:t>
      </w:r>
      <w:r>
        <w:t xml:space="preserve">analysis. With all of that, it is finally time to visualize the data by</w:t>
      </w:r>
      <w:r>
        <w:t xml:space="preserve"> </w:t>
      </w:r>
      <w:r>
        <w:t xml:space="preserve">making some tables and/or graphs.</w:t>
      </w:r>
    </w:p>
    <w:p>
      <w:pPr>
        <w:pStyle w:val="BodyText"/>
      </w:pPr>
      <w:r>
        <w:t xml:space="preserve">More packages were loaded that would assist in the visualization process</w:t>
      </w:r>
      <w:r>
        <w:t xml:space="preserve"> </w:t>
      </w:r>
      <w:r>
        <w:t xml:space="preserve">before begining this process. Before visualization began, the glimpse()</w:t>
      </w:r>
      <w:r>
        <w:t xml:space="preserve"> </w:t>
      </w:r>
      <w:r>
        <w:t xml:space="preserve">function was utilized to view the recently cleaned data. Given the</w:t>
      </w:r>
      <w:r>
        <w:t xml:space="preserve"> </w:t>
      </w:r>
      <w:r>
        <w:t xml:space="preserve">uncertainty of</w:t>
      </w:r>
      <w:r>
        <w:t xml:space="preserve"> </w:t>
      </w:r>
      <w:r>
        <w:rPr>
          <w:iCs/>
          <w:i/>
        </w:rPr>
        <w:t xml:space="preserve">Salmonella’s</w:t>
      </w:r>
      <w:r>
        <w:t xml:space="preserve"> </w:t>
      </w:r>
      <w:r>
        <w:t xml:space="preserve">persistence on various surface materials</w:t>
      </w:r>
      <w:r>
        <w:t xml:space="preserve"> </w:t>
      </w:r>
      <w:r>
        <w:t xml:space="preserve">and the information these trials hoped to provide, the summary()</w:t>
      </w:r>
      <w:r>
        <w:t xml:space="preserve"> </w:t>
      </w:r>
      <w:r>
        <w:t xml:space="preserve">function was utilized to provide a quick glimpse of basic result</w:t>
      </w:r>
      <w:r>
        <w:t xml:space="preserve"> </w:t>
      </w:r>
      <w:r>
        <w:t xml:space="preserve">summaries for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 and if the pile present was</w:t>
      </w:r>
      <w:r>
        <w:t xml:space="preserve"> </w:t>
      </w:r>
      <w:r>
        <w:t xml:space="preserve">the original pile or not. Exploration continued on these two variables</w:t>
      </w:r>
      <w:r>
        <w:t xml:space="preserve"> </w:t>
      </w:r>
      <w:r>
        <w:t xml:space="preserve">of interest by plotting each using a stacked bar graph via ggplot().</w:t>
      </w:r>
    </w:p>
    <w:p>
      <w:pPr>
        <w:pStyle w:val="BodyText"/>
      </w:pPr>
      <w:r>
        <w:t xml:space="preserve">The same workflow for the Feeder Data was utilized, however, this</w:t>
      </w:r>
      <w:r>
        <w:t xml:space="preserve"> </w:t>
      </w:r>
      <w:r>
        <w:t xml:space="preserve">dataset required less wrangling and did not provide as many exploratory</w:t>
      </w:r>
      <w:r>
        <w:t xml:space="preserve"> </w:t>
      </w:r>
      <w:r>
        <w:t xml:space="preserve">options as the main focus was on feeder type, date, and the</w:t>
      </w:r>
      <w:r>
        <w:t xml:space="preserve"> </w:t>
      </w:r>
      <w:r>
        <w:t xml:space="preserve">presence/absence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for each day the feeders were sampled.</w:t>
      </w:r>
    </w:p>
    <w:p>
      <w:r>
        <w:br w:type="page"/>
      </w:r>
    </w:p>
    <w:bookmarkEnd w:id="28"/>
    <w:bookmarkEnd w:id="29"/>
    <w:bookmarkStart w:id="30" w:name="statistical-analysis"/>
    <w:p>
      <w:pPr>
        <w:pStyle w:val="Heading1"/>
      </w:pPr>
      <w:r>
        <w:t xml:space="preserve">4. </w:t>
      </w:r>
      <w:r>
        <w:rPr>
          <w:bCs/>
          <w:b/>
        </w:rPr>
        <w:t xml:space="preserve">Statistical analysis</w:t>
      </w:r>
    </w:p>
    <w:p>
      <w:pPr>
        <w:pStyle w:val="FirstParagraph"/>
      </w:pPr>
      <w:r>
        <w:t xml:space="preserve">Statistical analysis was conducted on both datasets, Picnic Table Data</w:t>
      </w:r>
      <w:r>
        <w:t xml:space="preserve"> </w:t>
      </w:r>
      <w:r>
        <w:t xml:space="preserve">and Feeder Data, utilizing RStudio</w:t>
      </w:r>
      <w:r>
        <w:t xml:space="preserve"> </w:t>
      </w:r>
      <w:r>
        <w:t xml:space="preserve">“</w:t>
      </w:r>
      <w:r>
        <w:t xml:space="preserve">Cherry Blossom</w:t>
      </w:r>
      <w:r>
        <w:t xml:space="preserve">”</w:t>
      </w:r>
      <w:r>
        <w:t xml:space="preserve"> </w:t>
      </w:r>
      <w:r>
        <w:t xml:space="preserve">(2023-03-09).</w:t>
      </w:r>
      <w:r>
        <w:t xml:space="preserve"> </w:t>
      </w:r>
      <w:r>
        <w:t xml:space="preserve">Analysis for both datasets were evaluated utilizing a linear regression</w:t>
      </w:r>
      <w:r>
        <w:t xml:space="preserve"> </w:t>
      </w:r>
      <w:r>
        <w:t xml:space="preserve">model.</w:t>
      </w:r>
    </w:p>
    <w:bookmarkEnd w:id="30"/>
    <w:bookmarkStart w:id="47" w:name="results"/>
    <w:p>
      <w:pPr>
        <w:pStyle w:val="Heading1"/>
      </w:pPr>
      <w:r>
        <w:t xml:space="preserve">5. </w:t>
      </w:r>
      <w:r>
        <w:rPr>
          <w:bCs/>
          <w:b/>
        </w:rPr>
        <w:t xml:space="preserve">Results</w:t>
      </w:r>
    </w:p>
    <w:p>
      <w:pPr>
        <w:pStyle w:val="FirstParagraph"/>
      </w:pPr>
      <w:r>
        <w:rPr>
          <w:bCs/>
          <w:b/>
        </w:rPr>
        <w:t xml:space="preserve">Picnic Table Data Exploration and Visualization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292592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./4.%20Results/Picnic_Table_PosSam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2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Figure. 1 Positive Salmonella Samples by Sample Type and Date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292592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./4.%20Results/Picnic_Table_Quad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2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Figure. 2 Positive Salmonella Samples by Quadrant and Date</w:t>
            </w:r>
          </w:p>
        </w:tc>
      </w:tr>
    </w:tbl>
    <w:p>
      <w:pPr>
        <w:pStyle w:val="BodyText"/>
      </w:pPr>
      <w:r>
        <w:rPr>
          <w:bCs/>
          <w:b/>
        </w:rPr>
        <w:t xml:space="preserve">Bird Feeder Data Exploration and Visualization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292592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../4.%20Results/Feeder_PA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2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Figure. 3 Positive Salmonella Samples by Feeder Type and Date</w:t>
            </w:r>
          </w:p>
        </w:tc>
      </w:tr>
    </w:tbl>
    <w:bookmarkStart w:id="42" w:name="picnic-table-trial"/>
    <w:p>
      <w:pPr>
        <w:pStyle w:val="Heading2"/>
      </w:pPr>
      <w:r>
        <w:t xml:space="preserve">5.1</w:t>
      </w:r>
      <w:r>
        <w:t xml:space="preserve"> </w:t>
      </w:r>
      <w:r>
        <w:rPr>
          <w:bCs/>
          <w:b/>
        </w:rPr>
        <w:t xml:space="preserve">Picnic Table Trial</w:t>
      </w:r>
    </w:p>
    <w:bookmarkStart w:id="40" w:name="persistence"/>
    <w:p>
      <w:pPr>
        <w:pStyle w:val="Heading3"/>
      </w:pPr>
      <w:r>
        <w:t xml:space="preserve">5.1.1</w:t>
      </w:r>
      <w:r>
        <w:t xml:space="preserve"> </w:t>
      </w:r>
      <w:r>
        <w:rPr>
          <w:bCs/>
          <w:b/>
        </w:rPr>
        <w:t xml:space="preserve">Persistence</w:t>
      </w:r>
    </w:p>
    <w:p>
      <w:pPr>
        <w:pStyle w:val="FirstParagraph"/>
      </w:pPr>
      <w:r>
        <w:t xml:space="preserve">On Day 1 of the study, four fecal piles per table (one per quadrant, n =</w:t>
      </w:r>
      <w:r>
        <w:t xml:space="preserve"> </w:t>
      </w:r>
      <w:r>
        <w:t xml:space="preserve">12) were designated for tracking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persistence.</w:t>
      </w:r>
      <w:r>
        <w:t xml:space="preserve"> </w:t>
      </w:r>
      <w:r>
        <w:rPr>
          <w:bCs/>
          <w:b/>
        </w:rPr>
        <w:t xml:space="preserve">Salmonella</w:t>
      </w:r>
      <w:r>
        <w:t xml:space="preserve"> </w:t>
      </w:r>
      <w:r>
        <w:t xml:space="preserve">was isolated from three of the 12 designated persistence</w:t>
      </w:r>
      <w:r>
        <w:t xml:space="preserve"> </w:t>
      </w:r>
      <w:r>
        <w:t xml:space="preserve">study piles on Day 1, allowing the persistence to be tracked on these</w:t>
      </w:r>
      <w:r>
        <w:t xml:space="preserve"> </w:t>
      </w:r>
      <w:r>
        <w:t xml:space="preserve">three piles. Persistence, expressed as the number of days that a</w:t>
      </w:r>
      <w:r>
        <w:t xml:space="preserve"> </w:t>
      </w:r>
      <w:r>
        <w:t xml:space="preserve">positive fecal pile on Day 1 remained positive, ranged from 1 to 4 days</w:t>
      </w:r>
      <w:r>
        <w:t xml:space="preserve"> </w:t>
      </w:r>
      <w:r>
        <w:t xml:space="preserve">with an average persistence of 3 days. The probability of an already</w:t>
      </w:r>
      <w:r>
        <w:t xml:space="preserve"> </w:t>
      </w:r>
      <w:r>
        <w:t xml:space="preserve">positive sample to remain positive the next day declined consistently</w:t>
      </w:r>
      <w:r>
        <w:t xml:space="preserve"> </w:t>
      </w:r>
      <w:r>
        <w:t xml:space="preserve">throughout the study period.</w:t>
      </w:r>
    </w:p>
    <w:bookmarkEnd w:id="40"/>
    <w:bookmarkStart w:id="41" w:name="prevalence"/>
    <w:p>
      <w:pPr>
        <w:pStyle w:val="Heading3"/>
      </w:pPr>
      <w:r>
        <w:t xml:space="preserve">5.1.2</w:t>
      </w:r>
      <w:r>
        <w:t xml:space="preserve"> </w:t>
      </w:r>
      <w:r>
        <w:rPr>
          <w:bCs/>
          <w:b/>
        </w:rPr>
        <w:t xml:space="preserve">Prevalence</w:t>
      </w:r>
    </w:p>
    <w:p>
      <w:pPr>
        <w:pStyle w:val="FirstParagraph"/>
      </w:pPr>
      <w:r>
        <w:t xml:space="preserve">Of 96 deposited feces, we obtained 27% positive.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persisted</w:t>
      </w:r>
      <w:r>
        <w:t xml:space="preserve"> </w:t>
      </w:r>
      <w:r>
        <w:t xml:space="preserve">for an average of 3 days, and maximum of 4 days on wooden picnic tables.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was isolated from all tables, at least once. While there</w:t>
      </w:r>
      <w:r>
        <w:t xml:space="preserve"> </w:t>
      </w:r>
      <w:r>
        <w:t xml:space="preserve">appears to be a significant positive correlation between the number of</w:t>
      </w:r>
      <w:r>
        <w:t xml:space="preserve"> </w:t>
      </w:r>
      <w:r>
        <w:t xml:space="preserve">new fecal piles and the probability of yielding a positive pooled</w:t>
      </w:r>
      <w:r>
        <w:t xml:space="preserve"> </w:t>
      </w:r>
      <w:r>
        <w:t xml:space="preserve">sample. The probabilities of a positive sample varied throughout the</w:t>
      </w:r>
      <w:r>
        <w:t xml:space="preserve"> </w:t>
      </w:r>
      <w:r>
        <w:t xml:space="preserve">week, with day 4 having the lowest probability of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isolation and day 7 having the most error.</w:t>
      </w:r>
    </w:p>
    <w:bookmarkEnd w:id="41"/>
    <w:bookmarkEnd w:id="42"/>
    <w:bookmarkStart w:id="43" w:name="feeder-trial"/>
    <w:p>
      <w:pPr>
        <w:pStyle w:val="Heading2"/>
      </w:pPr>
      <w:r>
        <w:t xml:space="preserve">5.2</w:t>
      </w:r>
      <w:r>
        <w:t xml:space="preserve"> </w:t>
      </w:r>
      <w:r>
        <w:rPr>
          <w:bCs/>
          <w:b/>
        </w:rPr>
        <w:t xml:space="preserve">Feeder Trial</w:t>
      </w:r>
    </w:p>
    <w:p>
      <w:pPr>
        <w:pStyle w:val="FirstParagraph"/>
      </w:pPr>
      <w:r>
        <w:t xml:space="preserve">We confirmed successful inoculation of all feeders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(presence on day post inoculation [DPI] 0). Further, results indicate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may persist on some feeders up to DPI 5 and current</w:t>
      </w:r>
      <w:r>
        <w:t xml:space="preserve"> </w:t>
      </w:r>
      <w:r>
        <w:t xml:space="preserve">analysis indicates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persisted on both coated and</w:t>
      </w:r>
      <w:r>
        <w:t xml:space="preserve"> </w:t>
      </w:r>
      <w:r>
        <w:t xml:space="preserve">uncoated plastic feeders at a higher rate than wood and wood coated.</w:t>
      </w:r>
      <w:r>
        <w:t xml:space="preserve"> </w:t>
      </w:r>
      <w:r>
        <w:t xml:space="preserve">Figure 2 depicts the percent of samples positive based on feeder type</w:t>
      </w:r>
      <w:r>
        <w:t xml:space="preserve"> </w:t>
      </w:r>
      <w:r>
        <w:t xml:space="preserve">throughout the study period. While plastic and plastic coated feeders</w:t>
      </w:r>
      <w:r>
        <w:t xml:space="preserve"> </w:t>
      </w:r>
      <w:r>
        <w:t xml:space="preserve">had an overall higher percent positivity, a spike in percent positivity</w:t>
      </w:r>
      <w:r>
        <w:t xml:space="preserve"> </w:t>
      </w:r>
      <w:r>
        <w:t xml:space="preserve">in wood feeders occurred on DPI 5 after a rain event. Further analyses</w:t>
      </w:r>
      <w:r>
        <w:t xml:space="preserve"> </w:t>
      </w:r>
      <w:r>
        <w:t xml:space="preserve">should be conducted to determine whether environmental conditions (e.g.,</w:t>
      </w:r>
      <w:r>
        <w:t xml:space="preserve"> </w:t>
      </w:r>
      <w:r>
        <w:t xml:space="preserve">rain event) had a significant influence on persistence.</w:t>
      </w:r>
    </w:p>
    <w:p>
      <w:pPr>
        <w:pStyle w:val="BodyText"/>
      </w:pPr>
      <w:r>
        <w:t xml:space="preserve">Our samples persisted for an average of 2 days (feeders), 3 days (picnic</w:t>
      </w:r>
      <w:r>
        <w:t xml:space="preserve"> </w:t>
      </w:r>
      <w:r>
        <w:t xml:space="preserve">tables) with 4 (picnic tables) and 5 (feeders) being the maximum number</w:t>
      </w:r>
      <w:r>
        <w:t xml:space="preserve"> </w:t>
      </w:r>
      <w:r>
        <w:t xml:space="preserve">of days persisted. The varied persistence during both trials could be a</w:t>
      </w:r>
      <w:r>
        <w:t xml:space="preserve"> </w:t>
      </w:r>
      <w:r>
        <w:t xml:space="preserve">result of a lack of moisture, the fluctuation in ambient temperature</w:t>
      </w:r>
      <w:r>
        <w:t xml:space="preserve"> </w:t>
      </w:r>
      <w:r>
        <w:t xml:space="preserve">during sampling, and water activity. Our studies suggest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have prolonged persistence on shared spaces,</w:t>
      </w:r>
      <w:r>
        <w:t xml:space="preserve"> </w:t>
      </w:r>
      <w:r>
        <w:t xml:space="preserve">persistence depends on surface material, and precautionary measures</w:t>
      </w:r>
      <w:r>
        <w:t xml:space="preserve"> </w:t>
      </w:r>
      <w:r>
        <w:t xml:space="preserve">(i.e., increased hygiene) should be adopted to reduce human exposure.</w:t>
      </w:r>
    </w:p>
    <w:bookmarkEnd w:id="43"/>
    <w:bookmarkStart w:id="44" w:name="exploratorydescriptive-analysis"/>
    <w:p>
      <w:pPr>
        <w:pStyle w:val="Heading2"/>
      </w:pPr>
      <w:r>
        <w:t xml:space="preserve">5.3</w:t>
      </w:r>
      <w:r>
        <w:t xml:space="preserve"> </w:t>
      </w:r>
      <w:r>
        <w:rPr>
          <w:bCs/>
          <w:b/>
        </w:rPr>
        <w:t xml:space="preserve">Exploratory/Descriptive analysis</w:t>
      </w:r>
    </w:p>
    <w:bookmarkEnd w:id="44"/>
    <w:bookmarkStart w:id="45" w:name="basic-statistical-analysis"/>
    <w:p>
      <w:pPr>
        <w:pStyle w:val="Heading2"/>
      </w:pPr>
      <w:r>
        <w:t xml:space="preserve">5.4</w:t>
      </w:r>
      <w:r>
        <w:t xml:space="preserve"> </w:t>
      </w:r>
      <w:r>
        <w:rPr>
          <w:bCs/>
          <w:b/>
        </w:rPr>
        <w:t xml:space="preserve">Basic statistical analysis</w:t>
      </w:r>
    </w:p>
    <w:p>
      <w:pPr>
        <w:pStyle w:val="FirstParagraph"/>
      </w:pPr>
      <w:r>
        <w:t xml:space="preserve">After the modules following Part 1, I am leaning towards running a GLM</w:t>
      </w:r>
      <w:r>
        <w:t xml:space="preserve"> </w:t>
      </w:r>
      <w:r>
        <w:t xml:space="preserve">for both given the binary responses for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 (e.g.,</w:t>
      </w:r>
      <w:r>
        <w:t xml:space="preserve"> </w:t>
      </w:r>
      <w:r>
        <w:t xml:space="preserve">presence v. absence). I need to meet with Dr. Hernandez to clear up some</w:t>
      </w:r>
      <w:r>
        <w:t xml:space="preserve"> </w:t>
      </w:r>
      <w:r>
        <w:t xml:space="preserve">questions I have on the picnic table data, specifically regarding the</w:t>
      </w:r>
      <w:r>
        <w:t xml:space="preserve"> </w:t>
      </w:r>
      <w:r>
        <w:t xml:space="preserve">introduction of new feces. I am curious if I should include other data</w:t>
      </w:r>
      <w:r>
        <w:t xml:space="preserve"> </w:t>
      </w:r>
      <w:r>
        <w:t xml:space="preserve">into the mix to make my analysis more robust. At the moment, the</w:t>
      </w:r>
      <w:r>
        <w:t xml:space="preserve"> </w:t>
      </w:r>
      <w:r>
        <w:t xml:space="preserve">variables of interest for both are limited (e.g., two for the picnic</w:t>
      </w:r>
      <w:r>
        <w:t xml:space="preserve"> </w:t>
      </w:r>
      <w:r>
        <w:t xml:space="preserve">table data, and one primary variable of interest for the feeder trial).</w:t>
      </w:r>
    </w:p>
    <w:bookmarkEnd w:id="45"/>
    <w:bookmarkStart w:id="46" w:name="full-analysis"/>
    <w:p>
      <w:pPr>
        <w:pStyle w:val="Heading2"/>
      </w:pPr>
      <w:r>
        <w:t xml:space="preserve">5.5</w:t>
      </w:r>
      <w:r>
        <w:t xml:space="preserve"> </w:t>
      </w:r>
      <w:r>
        <w:rPr>
          <w:bCs/>
          <w:b/>
        </w:rPr>
        <w:t xml:space="preserve">Full analysis</w:t>
      </w:r>
    </w:p>
    <w:bookmarkEnd w:id="46"/>
    <w:bookmarkEnd w:id="47"/>
    <w:bookmarkStart w:id="51" w:name="discussion"/>
    <w:p>
      <w:pPr>
        <w:pStyle w:val="Heading1"/>
      </w:pPr>
      <w:r>
        <w:t xml:space="preserve">6. </w:t>
      </w:r>
      <w:r>
        <w:rPr>
          <w:bCs/>
          <w:b/>
        </w:rPr>
        <w:t xml:space="preserve">Discussion</w:t>
      </w:r>
    </w:p>
    <w:bookmarkStart w:id="48" w:name="summary-and-interpretation"/>
    <w:p>
      <w:pPr>
        <w:pStyle w:val="Heading2"/>
      </w:pPr>
      <w:r>
        <w:t xml:space="preserve">6.1</w:t>
      </w:r>
      <w:r>
        <w:t xml:space="preserve"> </w:t>
      </w:r>
      <w:r>
        <w:rPr>
          <w:bCs/>
          <w:b/>
        </w:rPr>
        <w:t xml:space="preserve">Summary and Interpretation</w:t>
      </w:r>
    </w:p>
    <w:bookmarkEnd w:id="48"/>
    <w:bookmarkStart w:id="49" w:name="strengths-and-limitations"/>
    <w:p>
      <w:pPr>
        <w:pStyle w:val="Heading2"/>
      </w:pPr>
      <w:r>
        <w:t xml:space="preserve">6.2</w:t>
      </w:r>
      <w:r>
        <w:t xml:space="preserve"> </w:t>
      </w:r>
      <w:r>
        <w:rPr>
          <w:bCs/>
          <w:b/>
        </w:rPr>
        <w:t xml:space="preserve">Strengths and Limitations</w:t>
      </w:r>
    </w:p>
    <w:bookmarkEnd w:id="49"/>
    <w:bookmarkStart w:id="50" w:name="conclusions"/>
    <w:p>
      <w:pPr>
        <w:pStyle w:val="Heading2"/>
      </w:pPr>
      <w:r>
        <w:t xml:space="preserve">6.3</w:t>
      </w:r>
      <w:r>
        <w:t xml:space="preserve"> </w:t>
      </w:r>
      <w:r>
        <w:rPr>
          <w:bCs/>
          <w:b/>
        </w:rPr>
        <w:t xml:space="preserve">Conclusions</w:t>
      </w:r>
    </w:p>
    <w:p>
      <w:r>
        <w:br w:type="page"/>
      </w:r>
    </w:p>
    <w:bookmarkEnd w:id="50"/>
    <w:bookmarkEnd w:id="51"/>
    <w:bookmarkStart w:id="71" w:name="references"/>
    <w:p>
      <w:pPr>
        <w:pStyle w:val="Heading1"/>
      </w:pPr>
      <w:r>
        <w:t xml:space="preserve">7. </w:t>
      </w:r>
      <w:r>
        <w:rPr>
          <w:bCs/>
          <w:b/>
        </w:rPr>
        <w:t xml:space="preserve">References</w:t>
      </w:r>
    </w:p>
    <w:bookmarkStart w:id="70" w:name="refs"/>
    <w:bookmarkStart w:id="53" w:name="ref-Barker2000"/>
    <w:p>
      <w:pPr>
        <w:pStyle w:val="Bibliography"/>
      </w:pPr>
      <w:r>
        <w:t xml:space="preserve">Barker, J, and S. F. Bloomfield. 2000.</w:t>
      </w:r>
      <w:r>
        <w:t xml:space="preserve"> </w:t>
      </w:r>
      <w:r>
        <w:t xml:space="preserve">“</w:t>
      </w:r>
      <w:r>
        <w:t xml:space="preserve">Survival of Salmonella in bathrooms and toilets in domestic homes following salmonellosis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Microbiology</w:t>
      </w:r>
      <w:r>
        <w:t xml:space="preserve"> </w:t>
      </w:r>
      <w:r>
        <w:t xml:space="preserve">89 (1): 137–44.</w:t>
      </w:r>
      <w:r>
        <w:t xml:space="preserve"> </w:t>
      </w:r>
      <w:hyperlink r:id="rId52">
        <w:r>
          <w:rPr>
            <w:rStyle w:val="Hyperlink"/>
          </w:rPr>
          <w:t xml:space="preserve">https://doi.org/10.1046/j.1365-2672.2000.01091.x</w:t>
        </w:r>
      </w:hyperlink>
      <w:r>
        <w:t xml:space="preserve">.</w:t>
      </w:r>
    </w:p>
    <w:bookmarkEnd w:id="53"/>
    <w:bookmarkStart w:id="55" w:name="Xce8a952741e43b92bfa391f651bfc8cddd2fa8a"/>
    <w:p>
      <w:pPr>
        <w:pStyle w:val="Bibliography"/>
      </w:pPr>
      <w:r>
        <w:t xml:space="preserve">Centers for Disease Control and Prevention. 2016.</w:t>
      </w:r>
      <w:r>
        <w:t xml:space="preserve"> </w:t>
      </w:r>
      <w:r>
        <w:t xml:space="preserve">“</w:t>
      </w:r>
      <w:r>
        <w:t xml:space="preserve">Surveillance for Foodborne Disease Outbreaks United States, 2016: Annual Report</w:t>
      </w:r>
      <w:r>
        <w:t xml:space="preserve">.”</w:t>
      </w:r>
      <w:r>
        <w:t xml:space="preserve"> </w:t>
      </w:r>
      <w:hyperlink r:id="rId54">
        <w:r>
          <w:rPr>
            <w:rStyle w:val="Hyperlink"/>
          </w:rPr>
          <w:t xml:space="preserve">https://www.cdc.gov/fdoss/pdf/2016_FoodBorneOutbreaks_508.pdf</w:t>
        </w:r>
      </w:hyperlink>
      <w:r>
        <w:t xml:space="preserve">.</w:t>
      </w:r>
    </w:p>
    <w:bookmarkEnd w:id="55"/>
    <w:bookmarkStart w:id="57" w:name="X2fb349f6b27361211010cf857b5e613ac28231e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</w:t>
      </w:r>
      <w:r>
        <w:t xml:space="preserve">Salmonella</w:t>
      </w:r>
      <w:r>
        <w:t xml:space="preserve">.”</w:t>
      </w:r>
      <w:r>
        <w:t xml:space="preserve"> </w:t>
      </w:r>
      <w:hyperlink r:id="rId56">
        <w:r>
          <w:rPr>
            <w:rStyle w:val="Hyperlink"/>
          </w:rPr>
          <w:t xml:space="preserve">https://www.cdc.gov/salmonella/index.html</w:t>
        </w:r>
      </w:hyperlink>
      <w:r>
        <w:t xml:space="preserve">.</w:t>
      </w:r>
    </w:p>
    <w:bookmarkEnd w:id="57"/>
    <w:bookmarkStart w:id="59" w:name="Xcbb5aec13b73d9ee4781ec75678c3ae330aff5e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</w:t>
      </w:r>
      <w:r>
        <w:t xml:space="preserve">Salmonella Investigation Details</w:t>
      </w:r>
      <w:r>
        <w:t xml:space="preserve">.”</w:t>
      </w:r>
      <w:r>
        <w:t xml:space="preserve"> </w:t>
      </w:r>
      <w:hyperlink r:id="rId58">
        <w:r>
          <w:rPr>
            <w:rStyle w:val="Hyperlink"/>
          </w:rPr>
          <w:t xml:space="preserve">https://www.cdc.gov/salmonella/typhimurium-04-21/details.html</w:t>
        </w:r>
      </w:hyperlink>
      <w:r>
        <w:t xml:space="preserve">.</w:t>
      </w:r>
    </w:p>
    <w:bookmarkEnd w:id="59"/>
    <w:bookmarkStart w:id="61" w:name="ref-Davies1995"/>
    <w:p>
      <w:pPr>
        <w:pStyle w:val="Bibliography"/>
      </w:pPr>
      <w:r>
        <w:t xml:space="preserve">Davies, R, and C Wray. 1995.</w:t>
      </w:r>
      <w:r>
        <w:t xml:space="preserve"> </w:t>
      </w:r>
      <w:r>
        <w:t xml:space="preserve">“</w:t>
      </w:r>
      <w:r>
        <w:t xml:space="preserve">Observations on disinfection regimens used on Salmonella enteritidis infected poultry units</w:t>
      </w:r>
      <w:r>
        <w:t xml:space="preserve">.”</w:t>
      </w:r>
      <w:r>
        <w:t xml:space="preserve"> </w:t>
      </w:r>
      <w:r>
        <w:rPr>
          <w:iCs/>
          <w:i/>
        </w:rPr>
        <w:t xml:space="preserve">Poultry Science</w:t>
      </w:r>
      <w:r>
        <w:t xml:space="preserve"> </w:t>
      </w:r>
      <w:r>
        <w:t xml:space="preserve">74 (4): 638–47. https://doi.org/</w:t>
      </w:r>
      <w:hyperlink r:id="rId60">
        <w:r>
          <w:rPr>
            <w:rStyle w:val="Hyperlink"/>
          </w:rPr>
          <w:t xml:space="preserve">https://doi.org/10.3382/ps.0740638</w:t>
        </w:r>
      </w:hyperlink>
      <w:r>
        <w:t xml:space="preserve">.</w:t>
      </w:r>
    </w:p>
    <w:bookmarkEnd w:id="61"/>
    <w:bookmarkStart w:id="63" w:name="ref-Hernandez2016"/>
    <w:p>
      <w:pPr>
        <w:pStyle w:val="Bibliography"/>
      </w:pPr>
      <w:r>
        <w:t xml:space="preserve">Hernandez, Sonia M., Catharine N. Welch, Valerie E. Peters, Erin K. Lipp, Shannon Curry, Michael J. Yabsley, Susan Sanchez, et al. 2016.</w:t>
      </w:r>
      <w:r>
        <w:t xml:space="preserve"> </w:t>
      </w:r>
      <w:r>
        <w:t xml:space="preserve">“</w:t>
      </w:r>
      <w:r>
        <w:t xml:space="preserve">Urbanized White Ibises (Eudocimus albus) as carriers of Salmonella enterica of significance to public health and wildlife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11 (10).</w:t>
      </w:r>
      <w:r>
        <w:t xml:space="preserve"> </w:t>
      </w:r>
      <w:hyperlink r:id="rId62">
        <w:r>
          <w:rPr>
            <w:rStyle w:val="Hyperlink"/>
          </w:rPr>
          <w:t xml:space="preserve">https://doi.org/10.1371/journal.pone.0164402</w:t>
        </w:r>
      </w:hyperlink>
      <w:r>
        <w:t xml:space="preserve">.</w:t>
      </w:r>
    </w:p>
    <w:bookmarkEnd w:id="63"/>
    <w:bookmarkStart w:id="64" w:name="ref-Majowicz2010"/>
    <w:p>
      <w:pPr>
        <w:pStyle w:val="Bibliography"/>
      </w:pPr>
      <w:r>
        <w:t xml:space="preserve">Majowicz, SE, Musto J, Scallan E, Angulo FJ, Kirk M, O’brien SJ, Jones TF, Fazil A, and Hoekstra RM. 2010.</w:t>
      </w:r>
      <w:r>
        <w:t xml:space="preserve"> </w:t>
      </w:r>
      <w:r>
        <w:t xml:space="preserve">“</w:t>
      </w:r>
      <w:r>
        <w:t xml:space="preserve">The global burden of nontyphoidal Salmonella gastroenteritis.</w:t>
      </w:r>
      <w:r>
        <w:t xml:space="preserve">”</w:t>
      </w:r>
      <w:r>
        <w:t xml:space="preserve"> </w:t>
      </w:r>
      <w:r>
        <w:rPr>
          <w:iCs/>
          <w:i/>
        </w:rPr>
        <w:t xml:space="preserve">Clinical Infectious Diseases</w:t>
      </w:r>
      <w:r>
        <w:t xml:space="preserve">, 882–889.</w:t>
      </w:r>
    </w:p>
    <w:bookmarkEnd w:id="64"/>
    <w:bookmarkStart w:id="66" w:name="ref-Maurer2015"/>
    <w:p>
      <w:pPr>
        <w:pStyle w:val="Bibliography"/>
      </w:pPr>
      <w:r>
        <w:t xml:space="preserve">Maurer, John J., Gordon Martin, Sonia Hernandez, Ying Cheng, Peter Gerner-Smidt, Kelley B. Hise, Melissa Tobin D’Angelo, et al. 2015.</w:t>
      </w:r>
      <w:r>
        <w:t xml:space="preserve"> </w:t>
      </w:r>
      <w:r>
        <w:t xml:space="preserve">“</w:t>
      </w:r>
      <w:r>
        <w:t xml:space="preserve">Diversity and persistence of Salmonella enterica strains in rural landscapes in the southeastern 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10 (7): 1–19.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https://doi.org/10.1371/journal.pone.0128937</w:t>
        </w:r>
      </w:hyperlink>
      <w:r>
        <w:t xml:space="preserve">.</w:t>
      </w:r>
    </w:p>
    <w:bookmarkEnd w:id="66"/>
    <w:bookmarkStart w:id="67" w:name="ref-Renner2002"/>
    <w:p>
      <w:pPr>
        <w:pStyle w:val="Bibliography"/>
      </w:pPr>
      <w:r>
        <w:t xml:space="preserve">Renner, Rebecca. 2002.</w:t>
      </w:r>
      <w:r>
        <w:t xml:space="preserve"> </w:t>
      </w:r>
      <w:r>
        <w:t xml:space="preserve">“</w:t>
      </w:r>
      <w:r>
        <w:t xml:space="preserve">From flush to farm. Sewage is a great fertilizer, but is it a health hazard?</w:t>
      </w:r>
      <w:r>
        <w:t xml:space="preserve">”</w:t>
      </w:r>
      <w:r>
        <w:t xml:space="preserve"> </w:t>
      </w:r>
      <w:r>
        <w:rPr>
          <w:iCs/>
          <w:i/>
        </w:rPr>
        <w:t xml:space="preserve">Scientific American</w:t>
      </w:r>
      <w:r>
        <w:t xml:space="preserve">.</w:t>
      </w:r>
    </w:p>
    <w:bookmarkEnd w:id="67"/>
    <w:bookmarkStart w:id="69" w:name="ref-Will1973"/>
    <w:p>
      <w:pPr>
        <w:pStyle w:val="Bibliography"/>
      </w:pPr>
      <w:r>
        <w:t xml:space="preserve">Will, Loren, Stanley Diesch, and B Pomeroy. 1973.</w:t>
      </w:r>
      <w:r>
        <w:t xml:space="preserve"> </w:t>
      </w:r>
      <w:r>
        <w:t xml:space="preserve">“</w:t>
      </w:r>
      <w:r>
        <w:t xml:space="preserve">Survival of Salmonella Typhimurium in animal manure disposal in a model oxidation ditch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63 (4): 322–26.</w:t>
      </w:r>
      <w:r>
        <w:t xml:space="preserve"> </w:t>
      </w:r>
      <w:hyperlink r:id="rId68">
        <w:r>
          <w:rPr>
            <w:rStyle w:val="Hyperlink"/>
          </w:rPr>
          <w:t xml:space="preserve">https://doi.org/10.2105/ajph.63.4.322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52" Target="https://doi.org/10.1046/j.1365-2672.2000.01091.x" TargetMode="External" /><Relationship Type="http://schemas.openxmlformats.org/officeDocument/2006/relationships/hyperlink" Id="rId65" Target="https://doi.org/10.1371/journal.pone.0128937" TargetMode="External" /><Relationship Type="http://schemas.openxmlformats.org/officeDocument/2006/relationships/hyperlink" Id="rId62" Target="https://doi.org/10.1371/journal.pone.0164402" TargetMode="External" /><Relationship Type="http://schemas.openxmlformats.org/officeDocument/2006/relationships/hyperlink" Id="rId68" Target="https://doi.org/10.2105/ajph.63.4.322" TargetMode="External" /><Relationship Type="http://schemas.openxmlformats.org/officeDocument/2006/relationships/hyperlink" Id="rId60" Target="https://doi.org/10.3382/ps.0740638" TargetMode="External" /><Relationship Type="http://schemas.openxmlformats.org/officeDocument/2006/relationships/hyperlink" Id="rId54" Target="https://www.cdc.gov/fdoss/pdf/2016_FoodBorneOutbreaks_508.pdf" TargetMode="External" /><Relationship Type="http://schemas.openxmlformats.org/officeDocument/2006/relationships/hyperlink" Id="rId56" Target="https://www.cdc.gov/salmonella/index.html" TargetMode="External" /><Relationship Type="http://schemas.openxmlformats.org/officeDocument/2006/relationships/hyperlink" Id="rId58" Target="https://www.cdc.gov/salmonella/typhimurium-04-21/detai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i.org/10.1046/j.1365-2672.2000.01091.x" TargetMode="External" /><Relationship Type="http://schemas.openxmlformats.org/officeDocument/2006/relationships/hyperlink" Id="rId65" Target="https://doi.org/10.1371/journal.pone.0128937" TargetMode="External" /><Relationship Type="http://schemas.openxmlformats.org/officeDocument/2006/relationships/hyperlink" Id="rId62" Target="https://doi.org/10.1371/journal.pone.0164402" TargetMode="External" /><Relationship Type="http://schemas.openxmlformats.org/officeDocument/2006/relationships/hyperlink" Id="rId68" Target="https://doi.org/10.2105/ajph.63.4.322" TargetMode="External" /><Relationship Type="http://schemas.openxmlformats.org/officeDocument/2006/relationships/hyperlink" Id="rId60" Target="https://doi.org/10.3382/ps.0740638" TargetMode="External" /><Relationship Type="http://schemas.openxmlformats.org/officeDocument/2006/relationships/hyperlink" Id="rId54" Target="https://www.cdc.gov/fdoss/pdf/2016_FoodBorneOutbreaks_508.pdf" TargetMode="External" /><Relationship Type="http://schemas.openxmlformats.org/officeDocument/2006/relationships/hyperlink" Id="rId56" Target="https://www.cdc.gov/salmonella/index.html" TargetMode="External" /><Relationship Type="http://schemas.openxmlformats.org/officeDocument/2006/relationships/hyperlink" Id="rId58" Target="https://www.cdc.gov/salmonella/typhimurium-04-21/detai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Salmonella Environmental Persistence Informs Management Relevant to Avian and Public Health</dc:title>
  <dc:creator>Kimberly M. Perez</dc:creator>
  <cp:keywords/>
  <dcterms:created xsi:type="dcterms:W3CDTF">2023-05-04T23:56:17Z</dcterms:created>
  <dcterms:modified xsi:type="dcterms:W3CDTF">2023-05-04T23:56:17Z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Ref.bib</vt:lpwstr>
  </property>
  <property fmtid="{D5CDD505-2E9C-101B-9397-08002B2CF9AE}" pid="5" name="by-author">
    <vt:lpwstr/>
  </property>
  <property fmtid="{D5CDD505-2E9C-101B-9397-08002B2CF9AE}" pid="6" name="date">
    <vt:lpwstr>5/4/23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