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  <w:rPr>
          <w:rFonts w:hint="default"/>
          <w:lang w:val="en-US"/>
        </w:rPr>
      </w:pPr>
      <w:r>
        <w:t>Rwaj Data platform &amp; event-tracking architecture</w:t>
      </w:r>
      <w:r>
        <w:rPr>
          <w:rFonts w:hint="default"/>
          <w:lang w:val="en-US"/>
        </w:rPr>
        <w:t xml:space="preserve"> and milestone</w:t>
      </w:r>
    </w:p>
    <w:p>
      <w:pPr>
        <w:pStyle w:val="2"/>
      </w:pPr>
      <w:bookmarkStart w:id="0" w:name="how-i-approached-this"/>
      <w:r>
        <w:t>How I approached this</w:t>
      </w:r>
      <w:bookmarkStart w:id="24" w:name="_GoBack"/>
      <w:bookmarkEnd w:id="24"/>
    </w:p>
    <w:p>
      <w:pPr>
        <w:pStyle w:val="23"/>
      </w:pPr>
      <w:r>
        <w:t xml:space="preserve">Rwaj’s live-shopping data is </w:t>
      </w:r>
      <w:r>
        <w:rPr>
          <w:b/>
          <w:bCs/>
        </w:rPr>
        <w:t>bursty, real-time, and money-adjacent</w:t>
      </w:r>
      <w:r>
        <w:t xml:space="preserve">: an auction closing or a payment failing mid-show matters in seconds, not hours. My principles: (1) </w:t>
      </w:r>
      <w:r>
        <w:rPr>
          <w:b/>
          <w:bCs/>
        </w:rPr>
        <w:t>capture once, losslessly</w:t>
      </w:r>
      <w:r>
        <w:t xml:space="preserve">, (2) </w:t>
      </w:r>
      <w:r>
        <w:rPr>
          <w:b/>
          <w:bCs/>
        </w:rPr>
        <w:t>land raw before transforming</w:t>
      </w:r>
      <w:r>
        <w:t xml:space="preserve"> so we can always replay, (3) </w:t>
      </w:r>
      <w:r>
        <w:rPr>
          <w:b/>
          <w:bCs/>
        </w:rPr>
        <w:t>make revenue reconcilable</w:t>
      </w:r>
      <w:r>
        <w:t xml:space="preserve">, analytics that disagree with payments are worse than none, (4) </w:t>
      </w:r>
      <w:r>
        <w:rPr>
          <w:b/>
          <w:bCs/>
        </w:rPr>
        <w:t>stage the build</w:t>
      </w:r>
      <w:r>
        <w:t xml:space="preserve"> to deliver value in week 2, not month 6.</w:t>
      </w:r>
    </w:p>
    <w:p>
      <w:pPr>
        <w:pStyle w:val="3"/>
      </w:pPr>
      <w:r>
        <w:t xml:space="preserve">Throughout I flag what I would </w:t>
      </w:r>
      <w:r>
        <w:rPr>
          <w:b/>
          <w:bCs/>
        </w:rPr>
        <w:t>not</w:t>
      </w:r>
      <w:r>
        <w:t xml:space="preserve"> build yet. </w:t>
      </w:r>
      <w:r>
        <w:rPr>
          <w:b/>
          <w:bCs/>
        </w:rPr>
        <w:t>Assumptions:</w:t>
      </w:r>
      <w:r>
        <w:t xml:space="preserve"> early-stage scale (tens of thousands of events/min at peak), a small data team, an existing Python/Django + FastAPI backend, AWS; all numbers illustrative, to be replaced by measured traffic.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>
      <w:pPr>
        <w:pStyle w:val="2"/>
      </w:pPr>
      <w:bookmarkStart w:id="1" w:name="X8a1876909b72b6e250db206b26102161527d9e2"/>
      <w:r>
        <w:t>Section 1, Data platform &amp; event-tracking architecture</w:t>
      </w:r>
    </w:p>
    <w:p>
      <w:pPr>
        <w:pStyle w:val="33"/>
      </w:pPr>
    </w:p>
    <w:p>
      <w:pPr>
        <w:pStyle w:val="33"/>
      </w:pPr>
      <w:r>
        <w:drawing>
          <wp:inline distT="0" distB="0" distL="114300" distR="114300">
            <wp:extent cx="6087110" cy="2917190"/>
            <wp:effectExtent l="0" t="0" r="8890" b="1651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3"/>
      </w:pPr>
    </w:p>
    <w:p>
      <w:pPr>
        <w:pStyle w:val="33"/>
      </w:pPr>
      <w:r>
        <w:t>Rwaj unified data &amp; event platform architecture</w:t>
      </w:r>
    </w:p>
    <w:p>
      <w:pPr>
        <w:pStyle w:val="4"/>
      </w:pPr>
      <w:bookmarkStart w:id="2" w:name="core-event-taxonomy"/>
      <w:r>
        <w:t>1.1 Core event taxonomy</w:t>
      </w:r>
    </w:p>
    <w:p>
      <w:pPr>
        <w:pStyle w:val="23"/>
      </w:pPr>
      <w:r>
        <w:t xml:space="preserve">A consistent </w:t>
      </w:r>
      <w:r>
        <w:rPr>
          <w:rStyle w:val="36"/>
        </w:rPr>
        <w:t>noun.verb</w:t>
      </w:r>
      <w:r>
        <w:t xml:space="preserve"> naming scheme keeps the catalog navigable as it grows. Fifteen high-value events across the lifecycle:</w:t>
      </w:r>
    </w:p>
    <w:tbl>
      <w:tblPr>
        <w:tblStyle w:val="29"/>
        <w:tblW w:w="79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630"/>
        <w:gridCol w:w="1863"/>
        <w:gridCol w:w="372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8" w:type="dxa"/>
          </w:tcPr>
          <w:p>
            <w:pPr>
              <w:pStyle w:val="24"/>
              <w:jc w:val="left"/>
            </w:pPr>
            <w:r>
              <w:t>#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t>Event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Domain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Why it matters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1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app.session_start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Buyer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Sessionization, DAU/MAU, attribution anchor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2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product.viewed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Buyer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Core recommendation + funnel signal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3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seller.followed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Buyer→Seller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Graph edge; powers “sellers you follow are live”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4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live.stream_joined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Live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Concurrency, reach, the heartbeat of the product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5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live.chat_sent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Live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Engagement depth; moderation + agent training signal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6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auction.bid_placed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Auction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Real-time demand; fraud/velocity checks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7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auction.won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Auction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Conversion intent; drives checkout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8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checkout.started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Checkout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Top of purchase funnel; abandonment triggers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9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order.placed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Order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GMV numerator; the reconciliation anchor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10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payment.succeeded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Payment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 xml:space="preserve">Revenue truth; must reconcile with </w:t>
            </w:r>
            <w:r>
              <w:rPr>
                <w:rStyle w:val="36"/>
              </w:rPr>
              <w:t>order.placed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11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payment.failed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Payment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Recovery flows, seller payout risk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12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notification.sent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Notification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Frequency-cap accounting; spam prevention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13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notification.opened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Notification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Channel effectiveness; lifecycle optimization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14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seller.product_listed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Seller ops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Supply health; catalog-quality entry point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>
            <w:pPr>
              <w:pStyle w:val="24"/>
              <w:jc w:val="left"/>
            </w:pPr>
            <w:r>
              <w:t>15</w:t>
            </w:r>
          </w:p>
        </w:tc>
        <w:tc>
          <w:tcPr>
            <w:tcW w:w="163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support.ticket_opened</w:t>
            </w:r>
          </w:p>
        </w:tc>
        <w:tc>
          <w:tcPr>
            <w:tcW w:w="1863" w:type="dxa"/>
          </w:tcPr>
          <w:p>
            <w:pPr>
              <w:pStyle w:val="24"/>
              <w:jc w:val="left"/>
            </w:pPr>
            <w:r>
              <w:t>Support</w:t>
            </w:r>
          </w:p>
        </w:tc>
        <w:tc>
          <w:tcPr>
            <w:tcW w:w="3727" w:type="dxa"/>
          </w:tcPr>
          <w:p>
            <w:pPr>
              <w:pStyle w:val="24"/>
              <w:jc w:val="left"/>
            </w:pPr>
            <w:r>
              <w:t>CSAT, agent deflection measurement</w:t>
            </w:r>
          </w:p>
        </w:tc>
      </w:tr>
    </w:tbl>
    <w:p>
      <w:pPr>
        <w:pStyle w:val="3"/>
      </w:pPr>
      <w:r>
        <w:t>Auction/live/payment events are prioritized because they are unique to Rwaj’s model and least reconstructable after the fact.</w:t>
      </w:r>
    </w:p>
    <w:bookmarkEnd w:id="2"/>
    <w:p>
      <w:pPr>
        <w:pStyle w:val="4"/>
      </w:pPr>
      <w:bookmarkStart w:id="3" w:name="event-schema-design"/>
      <w:r>
        <w:t>1.2 Event schema design</w:t>
      </w:r>
    </w:p>
    <w:p>
      <w:pPr>
        <w:pStyle w:val="23"/>
      </w:pPr>
      <w:r>
        <w:t xml:space="preserve">Every event shares one </w:t>
      </w:r>
      <w:r>
        <w:rPr>
          <w:b/>
          <w:bCs/>
        </w:rPr>
        <w:t>envelope</w:t>
      </w:r>
      <w:r>
        <w:t xml:space="preserve"> (implemented in Section 2’s </w:t>
      </w:r>
      <w:r>
        <w:rPr>
          <w:rStyle w:val="36"/>
        </w:rPr>
        <w:t>schemas.py</w:t>
      </w:r>
      <w:r>
        <w:t xml:space="preserve">) so identity, time, and idempotency are uniform, while a per-type </w:t>
      </w:r>
      <w:r>
        <w:rPr>
          <w:rStyle w:val="36"/>
        </w:rPr>
        <w:t>properties</w:t>
      </w:r>
      <w:r>
        <w:t xml:space="preserve"> payload carries specifics.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Required envelope fields:</w:t>
      </w:r>
      <w:r>
        <w:t xml:space="preserve"> </w:t>
      </w:r>
      <w:r>
        <w:rPr>
          <w:rStyle w:val="36"/>
        </w:rPr>
        <w:t>event_id</w:t>
      </w:r>
      <w:r>
        <w:t xml:space="preserve"> (UUID), </w:t>
      </w:r>
      <w:r>
        <w:rPr>
          <w:rStyle w:val="36"/>
        </w:rPr>
        <w:t>event_type</w:t>
      </w:r>
      <w:r>
        <w:t xml:space="preserve">, </w:t>
      </w:r>
      <w:r>
        <w:rPr>
          <w:rStyle w:val="36"/>
        </w:rPr>
        <w:t>event_version</w:t>
      </w:r>
      <w:r>
        <w:t xml:space="preserve">, </w:t>
      </w:r>
      <w:r>
        <w:rPr>
          <w:rStyle w:val="36"/>
        </w:rPr>
        <w:t>occurred_at</w:t>
      </w:r>
      <w:r>
        <w:t xml:space="preserve">, </w:t>
      </w:r>
      <w:r>
        <w:rPr>
          <w:rStyle w:val="36"/>
        </w:rPr>
        <w:t>received_at</w:t>
      </w:r>
      <w:r>
        <w:t xml:space="preserve">, </w:t>
      </w:r>
      <w:r>
        <w:rPr>
          <w:rStyle w:val="36"/>
        </w:rPr>
        <w:t>anonymous_id</w:t>
      </w:r>
      <w:r>
        <w:t xml:space="preserve">, </w:t>
      </w:r>
      <w:r>
        <w:rPr>
          <w:rStyle w:val="36"/>
        </w:rPr>
        <w:t>platform</w:t>
      </w:r>
      <w:r>
        <w:t xml:space="preserve">, </w:t>
      </w:r>
      <w:r>
        <w:rPr>
          <w:rStyle w:val="36"/>
        </w:rPr>
        <w:t>source</w:t>
      </w:r>
      <w:r>
        <w:t>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Identity resolution:</w:t>
      </w:r>
      <w:r>
        <w:t xml:space="preserve"> </w:t>
      </w:r>
      <w:r>
        <w:rPr>
          <w:rStyle w:val="36"/>
        </w:rPr>
        <w:t>anonymous_id</w:t>
      </w:r>
      <w:r>
        <w:t xml:space="preserve"> is always present (device/cookie-scoped, survives logout); </w:t>
      </w:r>
      <w:r>
        <w:rPr>
          <w:rStyle w:val="36"/>
        </w:rPr>
        <w:t>user_id</w:t>
      </w:r>
      <w:r>
        <w:t xml:space="preserve"> appears after auth. Anonymous→known </w:t>
      </w:r>
      <w:r>
        <w:rPr>
          <w:b/>
          <w:bCs/>
        </w:rPr>
        <w:t>stitching</w:t>
      </w:r>
      <w:r>
        <w:t xml:space="preserve"> is done downstream, not at the edge, so pre-login behavior isn’t lost. A stable seller/buyer id lets us build the follow graph.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Session handling:</w:t>
      </w:r>
      <w:r>
        <w:t xml:space="preserve"> client supplies </w:t>
      </w:r>
      <w:r>
        <w:rPr>
          <w:rStyle w:val="36"/>
        </w:rPr>
        <w:t>session_id</w:t>
      </w:r>
      <w:r>
        <w:t>; a fallback sessionization job (30-min inactivity gap) repairs missing/broken sessions in the warehouse.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Device handling:</w:t>
      </w:r>
      <w:r>
        <w:t xml:space="preserve"> </w:t>
      </w:r>
      <w:r>
        <w:rPr>
          <w:rStyle w:val="36"/>
        </w:rPr>
        <w:t>device_id</w:t>
      </w:r>
      <w:r>
        <w:t xml:space="preserve">, </w:t>
      </w:r>
      <w:r>
        <w:rPr>
          <w:rStyle w:val="36"/>
        </w:rPr>
        <w:t>platform</w:t>
      </w:r>
      <w:r>
        <w:t xml:space="preserve">, </w:t>
      </w:r>
      <w:r>
        <w:rPr>
          <w:rStyle w:val="36"/>
        </w:rPr>
        <w:t>app_version</w:t>
      </w:r>
      <w:r>
        <w:t xml:space="preserve"> support per-platform funnels and safe rollout of client changes.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Idempotency:</w:t>
      </w:r>
      <w:r>
        <w:t xml:space="preserve"> client-generated </w:t>
      </w:r>
      <w:r>
        <w:rPr>
          <w:rStyle w:val="36"/>
        </w:rPr>
        <w:t>event_id</w:t>
      </w:r>
      <w:r>
        <w:t xml:space="preserve"> is the dedup key; retries reuse it, turning at-least-once delivery into </w:t>
      </w:r>
      <w:r>
        <w:rPr>
          <w:b/>
          <w:bCs/>
        </w:rPr>
        <w:t>effectively-once</w:t>
      </w:r>
      <w:r>
        <w:t xml:space="preserve"> (details in 2).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Timestamps, two clocks:</w:t>
      </w:r>
      <w:r>
        <w:t xml:space="preserve"> </w:t>
      </w:r>
      <w:r>
        <w:rPr>
          <w:rStyle w:val="36"/>
        </w:rPr>
        <w:t>occurred_at</w:t>
      </w:r>
      <w:r>
        <w:t xml:space="preserve"> (client, can be skewed or offline-buffered) and </w:t>
      </w:r>
      <w:r>
        <w:rPr>
          <w:rStyle w:val="36"/>
        </w:rPr>
        <w:t>received_at</w:t>
      </w:r>
      <w:r>
        <w:t xml:space="preserve"> (server-stamped). Analytics default to </w:t>
      </w:r>
      <w:r>
        <w:rPr>
          <w:rStyle w:val="36"/>
        </w:rPr>
        <w:t>received_at</w:t>
      </w:r>
      <w:r>
        <w:t xml:space="preserve"> for freshness/reconciliation and use </w:t>
      </w:r>
      <w:r>
        <w:rPr>
          <w:rStyle w:val="36"/>
        </w:rPr>
        <w:t>occurred_at</w:t>
      </w:r>
      <w:r>
        <w:t xml:space="preserve"> only for user-facing ordering, with a skew guard rejecting absurd future timestamps.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Privacy:</w:t>
      </w:r>
      <w:r>
        <w:t xml:space="preserve"> consent flags (</w:t>
      </w:r>
      <w:r>
        <w:rPr>
          <w:rStyle w:val="36"/>
        </w:rPr>
        <w:t>consent_analytics</w:t>
      </w:r>
      <w:r>
        <w:t xml:space="preserve">, </w:t>
      </w:r>
      <w:r>
        <w:rPr>
          <w:rStyle w:val="36"/>
        </w:rPr>
        <w:t>consent_marketing</w:t>
      </w:r>
      <w:r>
        <w:t xml:space="preserve">) travel </w:t>
      </w:r>
      <w:r>
        <w:rPr>
          <w:i/>
          <w:iCs/>
        </w:rPr>
        <w:t>with</w:t>
      </w:r>
      <w:r>
        <w:t xml:space="preserve"> the event so deletion and marketing-suppression are honored without a second lookup; raw PII is disallowed in </w:t>
      </w:r>
      <w:r>
        <w:rPr>
          <w:rStyle w:val="36"/>
        </w:rPr>
        <w:t>properties</w:t>
      </w:r>
      <w:r>
        <w:t xml:space="preserve"> (edge check + downstream scrubber); Saudi PDPL data-residency and retention rules are respected via region-pinned storage and TTLs.</w:t>
      </w:r>
    </w:p>
    <w:bookmarkEnd w:id="3"/>
    <w:p>
      <w:pPr>
        <w:pStyle w:val="4"/>
      </w:pPr>
      <w:bookmarkStart w:id="4" w:name="ingestion-approach"/>
      <w:r>
        <w:t>1.3 Ingestion approach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APIs/SDKs:</w:t>
      </w:r>
      <w:r>
        <w:t xml:space="preserve"> thin mobile/web SDKs batch events and POST to the </w:t>
      </w:r>
      <w:r>
        <w:rPr>
          <w:b/>
          <w:bCs/>
        </w:rPr>
        <w:t>Event Gateway</w:t>
      </w:r>
      <w:r>
        <w:t xml:space="preserve"> (Section 2). Trusted internal services can also write directly to the bus using the same schema contract.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Queues/streams:</w:t>
      </w:r>
      <w:r>
        <w:t xml:space="preserve"> the gateway publishes to </w:t>
      </w:r>
      <w:r>
        <w:rPr>
          <w:b/>
          <w:bCs/>
        </w:rPr>
        <w:t>Kafka/Kinesis</w:t>
      </w:r>
      <w:r>
        <w:t xml:space="preserve">, keyed by </w:t>
      </w:r>
      <w:r>
        <w:rPr>
          <w:rStyle w:val="36"/>
        </w:rPr>
        <w:t>event_id</w:t>
      </w:r>
      <w:r>
        <w:t xml:space="preserve"> for per-key ordering and replay.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Retry strategy:</w:t>
      </w:r>
      <w:r>
        <w:t xml:space="preserve"> client SDKs buffer offline and retry with backoff; the gateway retries broker publishes with bounded exponential backoff.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Dead-letter queues:</w:t>
      </w:r>
      <w:r>
        <w:t xml:space="preserve"> exhausted publishes go to a </w:t>
      </w:r>
      <w:r>
        <w:rPr>
          <w:b/>
          <w:bCs/>
        </w:rPr>
        <w:t>DLQ</w:t>
      </w:r>
      <w:r>
        <w:t xml:space="preserve"> (never dropped), with an alert on depth &gt; 0 and a redrive path once the broker recovers.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Avoiding silent loss:</w:t>
      </w:r>
      <w:r>
        <w:t xml:space="preserve"> every stage is counted (received, accepted, duplicate, rejected, DLQ’d); reconciliation (1.5) catches gaps the counters miss. Rejections return actionable per-event errors rather than a blanket failure.</w:t>
      </w:r>
    </w:p>
    <w:bookmarkEnd w:id="4"/>
    <w:p>
      <w:pPr>
        <w:pStyle w:val="4"/>
      </w:pPr>
      <w:bookmarkStart w:id="5" w:name="storage-transformation-layers"/>
      <w:r>
        <w:t>1.4 Storage &amp; transformation layers</w:t>
      </w:r>
    </w:p>
    <w:p>
      <w:pPr>
        <w:pStyle w:val="23"/>
      </w:pPr>
      <w:r>
        <w:t>A medallion-style layering, tool-matched to the job rather than one warehouse for everything: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 xml:space="preserve">Raw layer, S3 (Parquet), partitioned by </w:t>
      </w:r>
      <w:r>
        <w:rPr>
          <w:rStyle w:val="36"/>
          <w:b/>
          <w:bCs/>
        </w:rPr>
        <w:t>event_type</w:t>
      </w:r>
      <w:r>
        <w:rPr>
          <w:b/>
          <w:bCs/>
        </w:rPr>
        <w:t>/date.</w:t>
      </w:r>
      <w:r>
        <w:t xml:space="preserve"> Immutable, cheap, replayable. Nothing is transformed before it lands here; this is our insurance policy.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Real-time OLAP, ClickHouse.</w:t>
      </w:r>
      <w:r>
        <w:t xml:space="preserve"> Live-show and auction dashboards need sub-second aggregates over high-cardinality streams; ClickHouse serves concurrency/GMV-per-minute views that a batch warehouse can’t.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Warehouse/lakehouse, BigQuery (or Redshift).</w:t>
      </w:r>
      <w:r>
        <w:t xml:space="preserve"> ELT with </w:t>
      </w:r>
      <w:r>
        <w:rPr>
          <w:b/>
          <w:bCs/>
        </w:rPr>
        <w:t>dbt</w:t>
      </w:r>
      <w:r>
        <w:t xml:space="preserve">: </w:t>
      </w:r>
      <w:r>
        <w:rPr>
          <w:rStyle w:val="36"/>
        </w:rPr>
        <w:t>raw → staging → core</w:t>
      </w:r>
      <w:r>
        <w:t>, tested, documented, incremental.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Marts:</w:t>
      </w:r>
      <w:r>
        <w:t xml:space="preserve"> curated business tables (GMV, retention cohorts, seller performance, funnels) powering BI.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Feature tables:</w:t>
      </w:r>
      <w:r>
        <w:t xml:space="preserve"> offline features for training + an </w:t>
      </w:r>
      <w:r>
        <w:rPr>
          <w:b/>
          <w:bCs/>
        </w:rPr>
        <w:t>online feature store</w:t>
      </w:r>
      <w:r>
        <w:t xml:space="preserve"> (e.g. Redis/DynamoDB) for low-latency reads by recommendations and agents.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When to use what:</w:t>
      </w:r>
      <w:r>
        <w:t xml:space="preserve"> PostgreSQL = operational app data; ClickHouse = real-time high-cardinality analytics; BigQuery/Redshift = batch warehouse &amp; modeling; S3 = raw lake + cold storage. </w:t>
      </w:r>
      <w:r>
        <w:rPr>
          <w:b/>
          <w:bCs/>
        </w:rPr>
        <w:t>Not</w:t>
      </w:r>
      <w:r>
        <w:t xml:space="preserve"> all on day one, start with S3 + warehouse; add ClickHouse only when live dashboards need sub-second latency.</w:t>
      </w:r>
    </w:p>
    <w:bookmarkEnd w:id="5"/>
    <w:p>
      <w:pPr>
        <w:pStyle w:val="4"/>
      </w:pPr>
      <w:bookmarkStart w:id="6" w:name="data-quality"/>
      <w:r>
        <w:t>1.5 Data quality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Freshness checks:</w:t>
      </w:r>
      <w:r>
        <w:t xml:space="preserve"> SLA per table (e.g. raw events &lt; 5 min, marts &lt; 1 h); page on breach.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Volume anomaly detection:</w:t>
      </w:r>
      <w:r>
        <w:t xml:space="preserve"> expected-range checks per event_type by hour-of-week; alert on sudden drops (a broken SDK release shows up as a cliff, not an error).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Schema validation:</w:t>
      </w:r>
      <w:r>
        <w:t xml:space="preserve"> a </w:t>
      </w:r>
      <w:r>
        <w:rPr>
          <w:b/>
          <w:bCs/>
        </w:rPr>
        <w:t>versioned schema registry</w:t>
      </w:r>
      <w:r>
        <w:t>; contract tests in CI block breaking producer changes.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Reconciliation:</w:t>
      </w:r>
      <w:r>
        <w:t xml:space="preserve"> nightly (and streaming) checks that </w:t>
      </w:r>
      <w:r>
        <w:rPr>
          <w:rStyle w:val="36"/>
        </w:rPr>
        <w:t>order.placed</w:t>
      </w:r>
      <w:r>
        <w:t xml:space="preserve"> ↔ </w:t>
      </w:r>
      <w:r>
        <w:rPr>
          <w:rStyle w:val="36"/>
        </w:rPr>
        <w:t>payment.succeeded</w:t>
      </w:r>
      <w:r>
        <w:t xml:space="preserve"> ↔ the payments ledger agree on count and SAR value. Revenue is the one number that must be exact; discrepancies open an alert, not a dashboard footnote.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Lineage &amp; audit:</w:t>
      </w:r>
      <w:r>
        <w:t xml:space="preserve"> dbt exposes column-level lineage; every ingested event carries </w:t>
      </w:r>
      <w:r>
        <w:rPr>
          <w:rStyle w:val="36"/>
        </w:rPr>
        <w:t>source</w:t>
      </w:r>
      <w:r>
        <w:t xml:space="preserve"> and </w:t>
      </w:r>
      <w:r>
        <w:rPr>
          <w:rStyle w:val="36"/>
        </w:rPr>
        <w:t>received_at</w:t>
      </w:r>
      <w:r>
        <w:t xml:space="preserve"> for end-to-end traceability; access to PII tables is logged.</w:t>
      </w:r>
    </w:p>
    <w:bookmarkEnd w:id="6"/>
    <w:p>
      <w:pPr>
        <w:pStyle w:val="4"/>
      </w:pPr>
      <w:bookmarkStart w:id="7" w:name="how-the-data-becomes-usable"/>
      <w:r>
        <w:t>1.6 How the data becomes usable</w:t>
      </w:r>
    </w:p>
    <w:p>
      <w:pPr>
        <w:pStyle w:val="23"/>
      </w:pPr>
      <w:r>
        <w:t xml:space="preserve">The same modeled tables fan out to four consumers: </w:t>
      </w:r>
      <w:r>
        <w:rPr>
          <w:b/>
          <w:bCs/>
        </w:rPr>
        <w:t>dashboards</w:t>
      </w:r>
      <w:r>
        <w:t xml:space="preserve"> (marts → BI), </w:t>
      </w:r>
      <w:r>
        <w:rPr>
          <w:b/>
          <w:bCs/>
        </w:rPr>
        <w:t>recommendations</w:t>
      </w:r>
      <w:r>
        <w:t xml:space="preserve"> (feature tables → ranker, 4), </w:t>
      </w:r>
      <w:r>
        <w:rPr>
          <w:b/>
          <w:bCs/>
        </w:rPr>
        <w:t>lifecycle automation</w:t>
      </w:r>
      <w:r>
        <w:t xml:space="preserve"> (segments → reverse-ETL to messaging, 4), and </w:t>
      </w:r>
      <w:r>
        <w:rPr>
          <w:b/>
          <w:bCs/>
        </w:rPr>
        <w:t>AI agents</w:t>
      </w:r>
      <w:r>
        <w:t xml:space="preserve"> (curated docs/catalog/history → vector index + tools, 3). One transformation layer, four products, no per-team bespoke pipelines.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7"/>
    <w:p>
      <w:pPr>
        <w:pStyle w:val="2"/>
      </w:pPr>
      <w:bookmarkStart w:id="8" w:name="X40c0564b045c0e286b29aaae7e8f52a4e44a167"/>
      <w:r>
        <w:t>Section 2, Senior Python backend mini-task (Event Gateway)</w:t>
      </w:r>
    </w:p>
    <w:p>
      <w:pPr>
        <w:pStyle w:val="23"/>
      </w:pPr>
      <w:r>
        <w:t xml:space="preserve">Full runnable code, tests, and a README are in </w:t>
      </w:r>
      <w:r>
        <w:rPr>
          <w:rStyle w:val="36"/>
          <w:b/>
          <w:bCs/>
        </w:rPr>
        <w:t>backend_python/</w:t>
      </w:r>
      <w:r>
        <w:t>. Summary of the design and the senior trade-offs:</w:t>
      </w:r>
    </w:p>
    <w:p>
      <w:pPr>
        <w:pStyle w:val="3"/>
      </w:pPr>
      <w:r>
        <w:rPr>
          <w:b/>
          <w:bCs/>
        </w:rPr>
        <w:t>What it is.</w:t>
      </w:r>
      <w:r>
        <w:t xml:space="preserve"> A FastAPI service exposing </w:t>
      </w:r>
      <w:r>
        <w:rPr>
          <w:rStyle w:val="36"/>
        </w:rPr>
        <w:t>POST /events</w:t>
      </w:r>
      <w:r>
        <w:t xml:space="preserve"> that accepts a single event or a batch, validates each, deduplicates, and durably publishes to the streaming bus with DLQ fallback.</w:t>
      </w:r>
    </w:p>
    <w:p>
      <w:pPr>
        <w:pStyle w:val="3"/>
      </w:pPr>
      <w:r>
        <w:rPr>
          <w:b/>
          <w:bCs/>
        </w:rPr>
        <w:t>Requirements coverage</w:t>
      </w:r>
    </w:p>
    <w:tbl>
      <w:tblPr>
        <w:tblStyle w:val="29"/>
        <w:tblW w:w="79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0" w:type="dxa"/>
          </w:tcPr>
          <w:p>
            <w:pPr>
              <w:pStyle w:val="24"/>
              <w:jc w:val="left"/>
            </w:pPr>
            <w:r>
              <w:t>Requirement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t>How it’s met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24"/>
              <w:jc w:val="left"/>
            </w:pPr>
            <w:r>
              <w:t>Single + batch endpoint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POST /events</w:t>
            </w:r>
            <w:r>
              <w:t xml:space="preserve"> accepts an object or </w:t>
            </w:r>
            <w:r>
              <w:rPr>
                <w:rStyle w:val="36"/>
              </w:rPr>
              <w:t>{"events":[…]}</w:t>
            </w:r>
            <w:r>
              <w:t>, capped at 500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24"/>
              <w:jc w:val="left"/>
            </w:pPr>
            <w:r>
              <w:t>Pydantic validation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EventEnvelope</w:t>
            </w:r>
            <w:r>
              <w:t xml:space="preserve"> (strict envelope, open payload) in </w:t>
            </w:r>
            <w:r>
              <w:rPr>
                <w:rStyle w:val="36"/>
              </w:rPr>
              <w:t>schemas.py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24"/>
              <w:jc w:val="left"/>
            </w:pPr>
            <w:r>
              <w:t>Idempotency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event_id</w:t>
            </w:r>
            <w:r>
              <w:t xml:space="preserve"> reserve/release via </w:t>
            </w:r>
            <w:r>
              <w:rPr>
                <w:rStyle w:val="36"/>
              </w:rPr>
              <w:t>IdempotencyStore</w:t>
            </w:r>
            <w:r>
              <w:t xml:space="preserve"> (in-mem now, Redis </w:t>
            </w:r>
            <w:r>
              <w:rPr>
                <w:rStyle w:val="36"/>
              </w:rPr>
              <w:t>SET NX EX</w:t>
            </w:r>
            <w:r>
              <w:t xml:space="preserve"> + </w:t>
            </w:r>
            <w:r>
              <w:rPr>
                <w:rStyle w:val="36"/>
              </w:rPr>
              <w:t>DEL</w:t>
            </w:r>
            <w:r>
              <w:t>-on-failure in prod)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24"/>
              <w:jc w:val="left"/>
            </w:pPr>
            <w:r>
              <w:t>Clear rejections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t>Per-event error with field path; 400 if all fail, 207 if partial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24"/>
              <w:jc w:val="left"/>
            </w:pPr>
            <w:r>
              <w:t>Auth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t xml:space="preserve">Bearer service token + </w:t>
            </w:r>
            <w:r>
              <w:rPr>
                <w:b/>
                <w:bCs/>
              </w:rPr>
              <w:t>per-source scope</w:t>
            </w:r>
            <w:r>
              <w:t xml:space="preserve"> (</w:t>
            </w:r>
            <w:r>
              <w:rPr>
                <w:rStyle w:val="36"/>
              </w:rPr>
              <w:t>auth.py</w:t>
            </w:r>
            <w:r>
              <w:t>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24"/>
              <w:jc w:val="left"/>
            </w:pPr>
            <w:r>
              <w:t>Publish to queue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Publisher</w:t>
            </w:r>
            <w:r>
              <w:t xml:space="preserve"> protocol; stub now, Kafka/SQS drop-in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24"/>
              <w:jc w:val="left"/>
            </w:pPr>
            <w:r>
              <w:t>Observability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t xml:space="preserve">Structured JSON log: </w:t>
            </w:r>
            <w:r>
              <w:rPr>
                <w:rStyle w:val="36"/>
              </w:rPr>
              <w:t>request_id</w:t>
            </w:r>
            <w:r>
              <w:t xml:space="preserve">, </w:t>
            </w:r>
            <w:r>
              <w:rPr>
                <w:rStyle w:val="36"/>
              </w:rPr>
              <w:t>event_type</w:t>
            </w:r>
            <w:r>
              <w:t xml:space="preserve">, </w:t>
            </w:r>
            <w:r>
              <w:rPr>
                <w:rStyle w:val="36"/>
              </w:rPr>
              <w:t>source</w:t>
            </w:r>
            <w:r>
              <w:t>, latency, failures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24"/>
              <w:jc w:val="left"/>
            </w:pPr>
            <w:r>
              <w:t>Retry + DLQ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publish_with_retry</w:t>
            </w:r>
            <w:r>
              <w:t>: bounded backoff → dead-letter, never silent-drop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24"/>
              <w:jc w:val="left"/>
            </w:pPr>
            <w:r>
              <w:t>Tests</w:t>
            </w:r>
          </w:p>
        </w:tc>
        <w:tc>
          <w:tcPr>
            <w:tcW w:w="3960" w:type="dxa"/>
          </w:tcPr>
          <w:p>
            <w:pPr>
              <w:pStyle w:val="24"/>
              <w:jc w:val="left"/>
            </w:pPr>
            <w:r>
              <w:t>13 passing tests incl. accept, auth, schema, dedup, partial-batch 207, retry→ok, retry→DLQ, scope, malformed-JSON→400, PII reject, future-ts reject, batch&gt;500, and total-outage-no-loss</w:t>
            </w:r>
          </w:p>
        </w:tc>
      </w:tr>
    </w:tbl>
    <w:p>
      <w:pPr>
        <w:pStyle w:val="3"/>
      </w:pPr>
      <w:r>
        <w:rPr>
          <w:b/>
          <w:bCs/>
        </w:rPr>
        <w:t>Key senior decisions &amp; trade-offs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Strict envelope, permissive payload.</w:t>
      </w:r>
      <w:r>
        <w:t xml:space="preserve"> New client fields must never cause silent edge rejection, so </w:t>
      </w:r>
      <w:r>
        <w:rPr>
          <w:rStyle w:val="36"/>
        </w:rPr>
        <w:t>properties</w:t>
      </w:r>
      <w:r>
        <w:t xml:space="preserve"> is open; deep semantic checks move to dbt where they’re cheap to evolve. The envelope (identity, time, idempotency) </w:t>
      </w:r>
      <w:r>
        <w:rPr>
          <w:i/>
          <w:iCs/>
        </w:rPr>
        <w:t>is</w:t>
      </w:r>
      <w:r>
        <w:t xml:space="preserve"> strict because those guarantees are load-bearing.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Partial-batch success (207).</w:t>
      </w:r>
      <w:r>
        <w:t xml:space="preserve"> One malformed event never rejects the good ones and never silently drops them, the client gets an exact per-index breakdown.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Two clocks + skew guard.</w:t>
      </w:r>
      <w:r>
        <w:t xml:space="preserve"> Prevents a bad client clock from poisoning time-series partitions.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Source-scoped tokens.</w:t>
      </w:r>
      <w:r>
        <w:t xml:space="preserve"> A leaked mobile token can’t impersonate </w:t>
      </w:r>
      <w:r>
        <w:rPr>
          <w:rStyle w:val="36"/>
        </w:rPr>
        <w:t>payments-svc</w:t>
      </w:r>
      <w:r>
        <w:t>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Idempotency is reserve/release, not fire-and-forget.</w:t>
      </w:r>
      <w:r>
        <w:t xml:space="preserve"> The key is reserved before the write and </w:t>
      </w:r>
      <w:r>
        <w:rPr>
          <w:i/>
          <w:iCs/>
        </w:rPr>
        <w:t>released</w:t>
      </w:r>
      <w:r>
        <w:t xml:space="preserve"> if both the broker and the DLQ fail, so a client retry after a total outage still lands instead of being dropped as a false duplicate. Without this, the one failure mode the gateway exists to prevent, silent event loss, is exactly the one that bites.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Protocol-based seams</w:t>
      </w:r>
      <w:r>
        <w:t xml:space="preserve"> (</w:t>
      </w:r>
      <w:r>
        <w:rPr>
          <w:rStyle w:val="36"/>
        </w:rPr>
        <w:t>IdempotencyStore</w:t>
      </w:r>
      <w:r>
        <w:t xml:space="preserve">, </w:t>
      </w:r>
      <w:r>
        <w:rPr>
          <w:rStyle w:val="36"/>
        </w:rPr>
        <w:t>Publisher</w:t>
      </w:r>
      <w:r>
        <w:t>) keep the prod swap (Redis, Kafka) isolated and the tests hermetic.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Avoided a real footgun:</w:t>
      </w:r>
      <w:r>
        <w:t xml:space="preserve"> the queue module is named </w:t>
      </w:r>
      <w:r>
        <w:rPr>
          <w:rStyle w:val="36"/>
        </w:rPr>
        <w:t>publisher.py</w:t>
      </w:r>
      <w:r>
        <w:t xml:space="preserve">, not </w:t>
      </w:r>
      <w:r>
        <w:rPr>
          <w:rStyle w:val="36"/>
        </w:rPr>
        <w:t>queue.py</w:t>
      </w:r>
      <w:r>
        <w:t xml:space="preserve">, so it doesn’t shadow Python’s stdlib </w:t>
      </w:r>
      <w:r>
        <w:rPr>
          <w:rStyle w:val="36"/>
        </w:rPr>
        <w:t>queue</w:t>
      </w:r>
      <w:r>
        <w:t>.</w:t>
      </w:r>
    </w:p>
    <w:p>
      <w:pPr>
        <w:pStyle w:val="23"/>
      </w:pPr>
      <w:r>
        <w:rPr>
          <w:b/>
          <w:bCs/>
        </w:rPr>
        <w:t>Deliberately deferred:</w:t>
      </w:r>
      <w:r>
        <w:t xml:space="preserve"> real Kafka wiring, rate limiting, async broker batching, and an OpenAPI-per-event-type registry, all noted in the README as next hardening steps. </w:t>
      </w:r>
      <w:r>
        <w:rPr>
          <w:b/>
          <w:bCs/>
        </w:rPr>
        <w:t>Scaling:</w:t>
      </w:r>
      <w:r>
        <w:t xml:space="preserve"> stateless replicas behind an ALB; all shared state external (Redis idempotency, Kafka log); DLQ absorbs broker outages while the endpoint stays fast.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2"/>
      </w:pPr>
      <w:bookmarkStart w:id="9" w:name="X9da89b37ca782f42025df21afe13e58f0154d10"/>
      <w:r>
        <w:t xml:space="preserve">Section 3, AI feature: </w:t>
      </w:r>
      <w:r>
        <w:rPr>
          <w:b/>
          <w:bCs/>
        </w:rPr>
        <w:t>Buyer Support Agent</w:t>
      </w:r>
      <w:r>
        <w:t xml:space="preserve"> (RAG + tools + guardrails)</w:t>
      </w:r>
    </w:p>
    <w:p>
      <w:pPr>
        <w:pStyle w:val="23"/>
      </w:pPr>
      <w:r>
        <w:t>I chose the Buyer Support Agent: highest volume, clearest deflection ROI, and it exercises the full RAG-plus-tools-plus-guardrails stack. The same skeleton generalizes to the Seller agent later.</w:t>
      </w:r>
    </w:p>
    <w:p>
      <w:pPr>
        <w:pStyle w:val="4"/>
      </w:pPr>
      <w:bookmarkStart w:id="10" w:name="problem-success-metrics"/>
      <w:r>
        <w:t>3.1 Problem &amp; success metrics</w:t>
      </w:r>
    </w:p>
    <w:p>
      <w:pPr>
        <w:pStyle w:val="23"/>
      </w:pPr>
      <w:r>
        <w:t xml:space="preserve">Answer buyer questions about products, orders, returns, sellers, live shows, and policies, accurately, in Arabic and English. </w:t>
      </w:r>
      <w:r>
        <w:rPr>
          <w:b/>
          <w:bCs/>
        </w:rPr>
        <w:t>Metrics:</w:t>
      </w:r>
      <w:r>
        <w:t xml:space="preserve"> deflection rate (resolved without human), first-contact resolution, CSAT on agent chats, </w:t>
      </w:r>
      <w:r>
        <w:rPr>
          <w:b/>
          <w:bCs/>
        </w:rPr>
        <w:t>hallucination/incorrect-answer rate</w:t>
      </w:r>
      <w:r>
        <w:t xml:space="preserve"> (the guardrail metric, kept near zero for order/refund facts), and cost &amp; p95 latency per resolved conversation.</w:t>
      </w:r>
    </w:p>
    <w:bookmarkEnd w:id="10"/>
    <w:p>
      <w:pPr>
        <w:pStyle w:val="4"/>
      </w:pPr>
      <w:bookmarkStart w:id="11" w:name="data-sources"/>
      <w:r>
        <w:t>3.2 Data sources</w:t>
      </w:r>
    </w:p>
    <w:p>
      <w:pPr>
        <w:pStyle w:val="23"/>
      </w:pPr>
      <w:r>
        <w:t>Two distinct classes, treated differently: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Slow-changing knowledge (RAG):</w:t>
      </w:r>
      <w:r>
        <w:t xml:space="preserve"> return/refund policies, shipping rules, platform FAQs, seller profiles, product descriptions.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Real-time facts (tools, never RAG):</w:t>
      </w:r>
      <w:r>
        <w:t xml:space="preserve"> this buyer’s order status, payment state, live-show schedule, tracking. Embedding these would guarantee stale, wrong answers, so the agent </w:t>
      </w:r>
      <w:r>
        <w:rPr>
          <w:b/>
          <w:bCs/>
        </w:rPr>
        <w:t>calls a tool</w:t>
      </w:r>
      <w:r>
        <w:t xml:space="preserve"> for anything account-specific.</w:t>
      </w:r>
    </w:p>
    <w:bookmarkEnd w:id="11"/>
    <w:p>
      <w:pPr>
        <w:pStyle w:val="4"/>
      </w:pPr>
      <w:bookmarkStart w:id="12" w:name="rag-design"/>
      <w:r>
        <w:t>3.3 RAG design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Chunking:</w:t>
      </w:r>
      <w:r>
        <w:t xml:space="preserve"> structure-aware (by policy section/product field), ~300-500 tokens with overlap; small metadata-rich chunks beat giant ones for retrieval precision.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Metadata filters:</w:t>
      </w:r>
      <w:r>
        <w:t xml:space="preserve"> </w:t>
      </w:r>
      <w:r>
        <w:rPr>
          <w:rStyle w:val="36"/>
        </w:rPr>
        <w:t>locale</w:t>
      </w:r>
      <w:r>
        <w:t xml:space="preserve">, </w:t>
      </w:r>
      <w:r>
        <w:rPr>
          <w:rStyle w:val="36"/>
        </w:rPr>
        <w:t>doc_type</w:t>
      </w:r>
      <w:r>
        <w:t xml:space="preserve">, </w:t>
      </w:r>
      <w:r>
        <w:rPr>
          <w:rStyle w:val="36"/>
        </w:rPr>
        <w:t>seller_id</w:t>
      </w:r>
      <w:r>
        <w:t xml:space="preserve">, </w:t>
      </w:r>
      <w:r>
        <w:rPr>
          <w:rStyle w:val="36"/>
        </w:rPr>
        <w:t>category</w:t>
      </w:r>
      <w:r>
        <w:t xml:space="preserve">, </w:t>
      </w:r>
      <w:r>
        <w:rPr>
          <w:rStyle w:val="36"/>
        </w:rPr>
        <w:t>effective_date</w:t>
      </w:r>
      <w:r>
        <w:t>, so a query is scoped to the right policy version and language before vector search.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Vector DB:</w:t>
      </w:r>
      <w:r>
        <w:t xml:space="preserve"> start with </w:t>
      </w:r>
      <w:r>
        <w:rPr>
          <w:b/>
          <w:bCs/>
        </w:rPr>
        <w:t>pgvector</w:t>
      </w:r>
      <w:r>
        <w:t xml:space="preserve"> on the existing Postgres (one less system, fine at this scale); graduate to a dedicated store (e.g. OpenSearch/managed vector DB) only if recall/latency demands it.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Retrieval/reranking:</w:t>
      </w:r>
      <w:r>
        <w:t xml:space="preserve"> hybrid (BM25 + vector) recall, then a cross-encoder </w:t>
      </w:r>
      <w:r>
        <w:rPr>
          <w:b/>
          <w:bCs/>
        </w:rPr>
        <w:t>reranker</w:t>
      </w:r>
      <w:r>
        <w:t xml:space="preserve"> for precision on the top-k; pass only the top few reranked chunks to the LLM.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Keeping facts fresh:</w:t>
      </w:r>
      <w:r>
        <w:t xml:space="preserve"> policy/catalog re-indexed on change via CDC (near-real-time), not on a nightly cron; account facts always come from tools; every answer </w:t>
      </w:r>
      <w:r>
        <w:rPr>
          <w:b/>
          <w:bCs/>
        </w:rPr>
        <w:t>cites</w:t>
      </w:r>
      <w:r>
        <w:t xml:space="preserve"> its source chunk so writers and buyers can verify.</w:t>
      </w:r>
    </w:p>
    <w:bookmarkEnd w:id="12"/>
    <w:p>
      <w:pPr>
        <w:pStyle w:val="4"/>
      </w:pPr>
      <w:bookmarkStart w:id="13" w:name="agent-tool-design"/>
      <w:r>
        <w:t>3.4 Agent &amp; tool design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Tools:</w:t>
      </w:r>
      <w:r>
        <w:t xml:space="preserve"> </w:t>
      </w:r>
      <w:r>
        <w:rPr>
          <w:rStyle w:val="36"/>
        </w:rPr>
        <w:t>get_order_status(order_id)</w:t>
      </w:r>
      <w:r>
        <w:t xml:space="preserve">, </w:t>
      </w:r>
      <w:r>
        <w:rPr>
          <w:rStyle w:val="36"/>
        </w:rPr>
        <w:t>get_return_policy(seller_id, category)</w:t>
      </w:r>
      <w:r>
        <w:t xml:space="preserve">, </w:t>
      </w:r>
      <w:r>
        <w:rPr>
          <w:rStyle w:val="36"/>
        </w:rPr>
        <w:t>get_live_schedule(seller_id)</w:t>
      </w:r>
      <w:r>
        <w:t xml:space="preserve">, </w:t>
      </w:r>
      <w:r>
        <w:rPr>
          <w:rStyle w:val="36"/>
        </w:rPr>
        <w:t>search_catalog(query)</w:t>
      </w:r>
      <w:r>
        <w:t xml:space="preserve">, </w:t>
      </w:r>
      <w:r>
        <w:rPr>
          <w:rStyle w:val="36"/>
        </w:rPr>
        <w:t>create_support_ticket(...)</w:t>
      </w:r>
      <w:r>
        <w:t xml:space="preserve">, </w:t>
      </w:r>
      <w:r>
        <w:rPr>
          <w:rStyle w:val="36"/>
        </w:rPr>
        <w:t>initiate_return(order_id)</w:t>
      </w:r>
      <w:r>
        <w:t>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Permissions / human approval:</w:t>
      </w:r>
      <w:r>
        <w:t xml:space="preserve"> read tools run freely (scoped to the authenticated buyer’s own data). </w:t>
      </w:r>
      <w:r>
        <w:rPr>
          <w:b/>
          <w:bCs/>
        </w:rPr>
        <w:t>Write/irreversible actions, refunds, returns, cancellations, require human approval</w:t>
      </w:r>
      <w:r>
        <w:t xml:space="preserve"> or hard rule limits; the agent </w:t>
      </w:r>
      <w:r>
        <w:rPr>
          <w:i/>
          <w:iCs/>
        </w:rPr>
        <w:t>drafts</w:t>
      </w:r>
      <w:r>
        <w:t xml:space="preserve"> the action, a human or a bounded rule confirms it. Every tool call is authorization-checked server-side (the agent can never read another buyer’s order) and logged.</w:t>
      </w:r>
    </w:p>
    <w:bookmarkEnd w:id="13"/>
    <w:p>
      <w:pPr>
        <w:pStyle w:val="4"/>
      </w:pPr>
      <w:bookmarkStart w:id="14" w:name="Xa5c3b2ebd95c122a853ebc89804782abf040795"/>
      <w:r>
        <w:t>3.5 When RAG vs fine-tuning vs classical ML vs rules vs off-the-shelf LLM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Rules:</w:t>
      </w:r>
      <w:r>
        <w:t xml:space="preserve"> refund eligibility, return windows, escalation thresholds, deterministic, auditable, must not be “reasoned about.”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Classical ML:</w:t>
      </w:r>
      <w:r>
        <w:t xml:space="preserve"> intent classification / routing, language detection, cheap, fast, easy to evaluate.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RAG:</w:t>
      </w:r>
      <w:r>
        <w:t xml:space="preserve"> the knowledge grounding, policies, FAQs, product info.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Off-the-shelf LLM API:</w:t>
      </w:r>
      <w:r>
        <w:t xml:space="preserve"> phrasing, synthesis, tool orchestration.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Fine-tuning:</w:t>
      </w:r>
      <w:r>
        <w:t xml:space="preserve"> </w:t>
      </w:r>
      <w:r>
        <w:rPr>
          <w:b/>
          <w:bCs/>
        </w:rPr>
        <w:t>not yet</w:t>
      </w:r>
      <w:r>
        <w:t>, deferred until we have labeled real conversations and a proven prompt+RAG ceiling; premature fine-tuning is costly and freezes in early mistakes.</w:t>
      </w:r>
    </w:p>
    <w:bookmarkEnd w:id="14"/>
    <w:p>
      <w:pPr>
        <w:pStyle w:val="4"/>
      </w:pPr>
      <w:bookmarkStart w:id="15" w:name="evaluation"/>
      <w:r>
        <w:t>3.6 Evaluation</w:t>
      </w:r>
    </w:p>
    <w:p>
      <w:pPr>
        <w:pStyle w:val="23"/>
      </w:pPr>
      <w:r>
        <w:t xml:space="preserve">Offline </w:t>
      </w:r>
      <w:r>
        <w:rPr>
          <w:b/>
          <w:bCs/>
        </w:rPr>
        <w:t>golden set</w:t>
      </w:r>
      <w:r>
        <w:t xml:space="preserve"> with approved answers; </w:t>
      </w:r>
      <w:r>
        <w:rPr>
          <w:b/>
          <w:bCs/>
        </w:rPr>
        <w:t>regression tests</w:t>
      </w:r>
      <w:r>
        <w:t xml:space="preserve"> in CI on every prompt/model change; automated </w:t>
      </w:r>
      <w:r>
        <w:rPr>
          <w:b/>
          <w:bCs/>
        </w:rPr>
        <w:t>hallucination checks</w:t>
      </w:r>
      <w:r>
        <w:t xml:space="preserve"> (is each claim in a retrieved source? do order facts match the tool response?); </w:t>
      </w:r>
      <w:r>
        <w:rPr>
          <w:b/>
          <w:bCs/>
        </w:rPr>
        <w:t>human review</w:t>
      </w:r>
      <w:r>
        <w:t xml:space="preserve"> sampling of live chats; </w:t>
      </w:r>
      <w:r>
        <w:rPr>
          <w:b/>
          <w:bCs/>
        </w:rPr>
        <w:t>cost/latency monitoring</w:t>
      </w:r>
      <w:r>
        <w:t xml:space="preserve">; and a </w:t>
      </w:r>
      <w:r>
        <w:rPr>
          <w:b/>
          <w:bCs/>
        </w:rPr>
        <w:t>feedback loop</w:t>
      </w:r>
      <w:r>
        <w:t xml:space="preserve"> where thumbs-down and escalations feed back into the golden set and retrieval tuning.</w:t>
      </w:r>
    </w:p>
    <w:bookmarkEnd w:id="15"/>
    <w:p>
      <w:pPr>
        <w:pStyle w:val="4"/>
      </w:pPr>
      <w:bookmarkStart w:id="16" w:name="guardrails"/>
      <w:r>
        <w:t>3.7 Guardrails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PII:</w:t>
      </w:r>
      <w:r>
        <w:t xml:space="preserve"> redact in logs; the agent only ever accesses the authenticated buyer’s own records.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Unsafe/irreversible actions:</w:t>
      </w:r>
      <w:r>
        <w:t xml:space="preserve"> refunds/returns/cancellations gated behind human/rule approval.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Wrong product/pricing:</w:t>
      </w:r>
      <w:r>
        <w:t xml:space="preserve"> pricing and stock come from tools, never generation; answers cite sources.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Escalation:</w:t>
      </w:r>
      <w:r>
        <w:t xml:space="preserve"> low retrieval confidence, low model confidence, detected frustration, or any payment/refund dispute → </w:t>
      </w:r>
      <w:r>
        <w:rPr>
          <w:b/>
          <w:bCs/>
        </w:rPr>
        <w:t>hand to a human</w:t>
      </w:r>
      <w:r>
        <w:t xml:space="preserve"> with full context. The safe default is escalation, not a guess.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6"/>
    <w:p>
      <w:pPr>
        <w:pStyle w:val="2"/>
      </w:pPr>
      <w:bookmarkStart w:id="17" w:name="X37d2a85f5057b54e92dfcdbcca98eb5ac8332ec"/>
      <w:r>
        <w:t>Section 4, Recommendations, lifecycle activation &amp; 90-day plan</w:t>
      </w:r>
    </w:p>
    <w:p>
      <w:pPr>
        <w:pStyle w:val="4"/>
      </w:pPr>
      <w:bookmarkStart w:id="18" w:name="v1-recommendations-with-limited-data"/>
      <w:r>
        <w:t>4.1 V1 recommendations (with limited data)</w:t>
      </w:r>
    </w:p>
    <w:p>
      <w:pPr>
        <w:pStyle w:val="23"/>
      </w:pPr>
      <w:r>
        <w:t>Cold-start with signals that exist on day one, ranked heuristically before any learned model: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Live shows:</w:t>
      </w:r>
      <w:r>
        <w:t xml:space="preserve"> boost sellers a buyer </w:t>
      </w:r>
      <w:r>
        <w:rPr>
          <w:b/>
          <w:bCs/>
        </w:rPr>
        <w:t>follows</w:t>
      </w:r>
      <w:r>
        <w:t xml:space="preserve"> who are live now; then trending-by-concurrency, recency, and category affinity from </w:t>
      </w:r>
      <w:r>
        <w:rPr>
          <w:rStyle w:val="36"/>
        </w:rPr>
        <w:t>product.viewed</w:t>
      </w:r>
      <w:r>
        <w:t>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Sellers/products:</w:t>
      </w:r>
      <w:r>
        <w:t xml:space="preserve"> category &amp; price affinity from recent views, popularity priors (bestsellers per category), and simple collaborative signals (“buyers who watched this show also bought”) once there’s enough overlap.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Cold users:</w:t>
      </w:r>
      <w:r>
        <w:t xml:space="preserve"> popularity + locale + a light onboarding interest pick.</w:t>
      </w:r>
    </w:p>
    <w:p>
      <w:pPr>
        <w:pStyle w:val="23"/>
      </w:pPr>
      <w:r>
        <w:t xml:space="preserve">Ship this as transparent, tunable heuristics; </w:t>
      </w:r>
      <w:r>
        <w:rPr>
          <w:b/>
          <w:bCs/>
        </w:rPr>
        <w:t>defer</w:t>
      </w:r>
      <w:r>
        <w:t xml:space="preserve"> a learned ranker until there’s enough labeled interaction data to beat the heuristic in an A/B test.</w:t>
      </w:r>
    </w:p>
    <w:bookmarkEnd w:id="18"/>
    <w:p>
      <w:pPr>
        <w:pStyle w:val="4"/>
      </w:pPr>
      <w:bookmarkStart w:id="19" w:name="buyer-seller-segments-levels"/>
      <w:r>
        <w:t>4.2 Buyer &amp; seller segments (levels)</w:t>
      </w:r>
    </w:p>
    <w:tbl>
      <w:tblPr>
        <w:tblStyle w:val="29"/>
        <w:tblW w:w="79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40" w:type="dxa"/>
          </w:tcPr>
          <w:p>
            <w:pPr>
              <w:pStyle w:val="24"/>
              <w:jc w:val="left"/>
            </w:pPr>
            <w:r>
              <w:t>Segment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Definition (illustrative)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Used for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  <w:jc w:val="left"/>
            </w:pPr>
            <w:r>
              <w:t>New buyer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0 orders, &lt; 7 days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Onboarding, first-purchase nudge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  <w:jc w:val="left"/>
            </w:pPr>
            <w:r>
              <w:t>Active buyer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≥ 1 order / 30 days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Recs, live-show alerts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  <w:jc w:val="left"/>
            </w:pPr>
            <w:r>
              <w:t>VIP buyer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top-decile GMV / frequency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Early access, loyalty perks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  <w:jc w:val="left"/>
            </w:pPr>
            <w:r>
              <w:t>Dormant buyer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no session in 30-90 days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Win-back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  <w:jc w:val="left"/>
            </w:pPr>
            <w:r>
              <w:t>New/rising seller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listed, low GMV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Seller-success coaching, reach boost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  <w:jc w:val="left"/>
            </w:pPr>
            <w:r>
              <w:t>Power seller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high GMV, consistent live cadence</w:t>
            </w:r>
          </w:p>
        </w:tc>
        <w:tc>
          <w:tcPr>
            <w:tcW w:w="2640" w:type="dxa"/>
          </w:tcPr>
          <w:p>
            <w:pPr>
              <w:pStyle w:val="24"/>
              <w:jc w:val="left"/>
            </w:pPr>
            <w:r>
              <w:t>Priority support, feature betas</w:t>
            </w:r>
          </w:p>
        </w:tc>
      </w:tr>
      <w:bookmarkEnd w:id="19"/>
    </w:tbl>
    <w:p>
      <w:pPr>
        <w:pStyle w:val="4"/>
      </w:pPr>
      <w:bookmarkStart w:id="20" w:name="Xb58231601172eb59872ee471b4f677b54f895a7"/>
      <w:r>
        <w:t>4.3 Lifecycle triggers (with logic, caps, anti-spam)</w:t>
      </w:r>
    </w:p>
    <w:tbl>
      <w:tblPr>
        <w:tblStyle w:val="29"/>
        <w:tblW w:w="79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4" w:type="dxa"/>
          </w:tcPr>
          <w:p>
            <w:pPr>
              <w:pStyle w:val="24"/>
              <w:jc w:val="left"/>
            </w:pPr>
            <w:r>
              <w:t>#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Trigger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Logic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Channel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Cap / anti-spam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pStyle w:val="24"/>
              <w:jc w:val="left"/>
            </w:pPr>
            <w:r>
              <w:t>1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Followed seller live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live.stream_joined</w:t>
            </w:r>
            <w:r>
              <w:t xml:space="preserve"> by followed seller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Push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Max 1/seller/live; global ≤ 3 push/day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pStyle w:val="24"/>
              <w:jc w:val="left"/>
            </w:pPr>
            <w:r>
              <w:t>2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Abandoned checkout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checkout.started</w:t>
            </w:r>
            <w:r>
              <w:t xml:space="preserve"> and no </w:t>
            </w:r>
            <w:r>
              <w:rPr>
                <w:rStyle w:val="36"/>
              </w:rPr>
              <w:t>order.placed</w:t>
            </w:r>
            <w:r>
              <w:t xml:space="preserve"> in 60 min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Push→email fallback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Once per cart; no repeat &lt; 24 h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pStyle w:val="24"/>
              <w:jc w:val="left"/>
            </w:pPr>
            <w:r>
              <w:t>3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Winning-bid nudge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auction.won</w:t>
            </w:r>
            <w:r>
              <w:t xml:space="preserve"> and no </w:t>
            </w:r>
            <w:r>
              <w:rPr>
                <w:rStyle w:val="36"/>
              </w:rPr>
              <w:t>checkout.started</w:t>
            </w:r>
            <w:r>
              <w:t xml:space="preserve"> in 15 min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Push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Once per auction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pStyle w:val="24"/>
              <w:jc w:val="left"/>
            </w:pPr>
            <w:r>
              <w:t>4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Win-back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dormant 30 days + prior category affinity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Email/WhatsApp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≤ 1 / 14 days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pStyle w:val="24"/>
              <w:jc w:val="left"/>
            </w:pPr>
            <w:r>
              <w:t>5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Payment recovery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rPr>
                <w:rStyle w:val="36"/>
              </w:rPr>
              <w:t>payment.failed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In-app + email</w:t>
            </w:r>
          </w:p>
        </w:tc>
        <w:tc>
          <w:tcPr>
            <w:tcW w:w="1584" w:type="dxa"/>
          </w:tcPr>
          <w:p>
            <w:pPr>
              <w:pStyle w:val="24"/>
              <w:jc w:val="left"/>
            </w:pPr>
            <w:r>
              <w:t>≤ 2 attempts, spaced 24 h</w:t>
            </w:r>
          </w:p>
        </w:tc>
      </w:tr>
    </w:tbl>
    <w:p>
      <w:pPr>
        <w:pStyle w:val="3"/>
      </w:pPr>
      <w:r>
        <w:rPr>
          <w:b/>
          <w:bCs/>
        </w:rPr>
        <w:t>Anti-spam framework:</w:t>
      </w:r>
      <w:r>
        <w:t xml:space="preserve"> global frequency caps per user/channel/day, quiet hours (local time), a per-user </w:t>
      </w:r>
      <w:r>
        <w:rPr>
          <w:b/>
          <w:bCs/>
        </w:rPr>
        <w:t>suppression list</w:t>
      </w:r>
      <w:r>
        <w:t xml:space="preserve"> honoring </w:t>
      </w:r>
      <w:r>
        <w:rPr>
          <w:rStyle w:val="36"/>
        </w:rPr>
        <w:t>consent_marketing</w:t>
      </w:r>
      <w:r>
        <w:t xml:space="preserve">, and </w:t>
      </w:r>
      <w:r>
        <w:rPr>
          <w:b/>
          <w:bCs/>
        </w:rPr>
        <w:t>holdout groups</w:t>
      </w:r>
      <w:r>
        <w:t xml:space="preserve"> so we can prove a trigger adds incremental value before scaling it. Frequency-cap accounting is driven by the </w:t>
      </w:r>
      <w:r>
        <w:rPr>
          <w:rStyle w:val="36"/>
        </w:rPr>
        <w:t>notification.sent</w:t>
      </w:r>
      <w:r>
        <w:t xml:space="preserve"> event, closing the loop with 1.1.</w:t>
      </w:r>
    </w:p>
    <w:bookmarkEnd w:id="20"/>
    <w:p>
      <w:pPr>
        <w:pStyle w:val="4"/>
      </w:pPr>
      <w:bookmarkStart w:id="21" w:name="audience-activation-privacy"/>
      <w:r>
        <w:t>4.4 Audience activation &amp; privacy</w:t>
      </w:r>
    </w:p>
    <w:p>
      <w:pPr>
        <w:pStyle w:val="23"/>
      </w:pPr>
      <w:r>
        <w:t xml:space="preserve">Segments are pushed via </w:t>
      </w:r>
      <w:r>
        <w:rPr>
          <w:b/>
          <w:bCs/>
        </w:rPr>
        <w:t>reverse-ETL</w:t>
      </w:r>
      <w:r>
        <w:t xml:space="preserve"> to ad platforms as </w:t>
      </w:r>
      <w:r>
        <w:rPr>
          <w:b/>
          <w:bCs/>
        </w:rPr>
        <w:t>hashed lookalike seeds</w:t>
      </w:r>
      <w:r>
        <w:t xml:space="preserve"> (never raw PII), gated on </w:t>
      </w:r>
      <w:r>
        <w:rPr>
          <w:rStyle w:val="36"/>
        </w:rPr>
        <w:t>consent_marketing</w:t>
      </w:r>
      <w:r>
        <w:t xml:space="preserve"> and Saudi PDPL. We share the minimum, hashed identifiers, not attributes, and keep an auditable record of what was activated where. Suppression and deletion propagate to activated audiences.</w:t>
      </w:r>
    </w:p>
    <w:bookmarkEnd w:id="21"/>
    <w:p>
      <w:pPr>
        <w:pStyle w:val="4"/>
      </w:pPr>
      <w:bookmarkStart w:id="22" w:name="measuring-impact"/>
      <w:r>
        <w:t>4.5 Measuring impact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Core:</w:t>
      </w:r>
      <w:r>
        <w:t xml:space="preserve"> conversion, retention (cohort curves), GMV, CAC, ROAS, LTV.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Causal, not just correlational:</w:t>
      </w:r>
      <w:r>
        <w:t xml:space="preserve"> </w:t>
      </w:r>
      <w:r>
        <w:rPr>
          <w:b/>
          <w:bCs/>
        </w:rPr>
        <w:t>holdout groups</w:t>
      </w:r>
      <w:r>
        <w:t xml:space="preserve"> for every major recommendation and lifecycle change; measure </w:t>
      </w:r>
      <w:r>
        <w:rPr>
          <w:b/>
          <w:bCs/>
        </w:rPr>
        <w:t>incrementality</w:t>
      </w:r>
      <w:r>
        <w:t xml:space="preserve"> (treated − holdout), not raw lift.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Attribution honesty:</w:t>
      </w:r>
      <w:r>
        <w:t xml:space="preserve"> last-touch over-credits bottom-funnel and paid; I’d report incrementality/holdouts as the source of truth and treat platform-reported ROAS as directional. State the limits explicitly rather than over-claiming attribution precision.</w:t>
      </w:r>
    </w:p>
    <w:bookmarkEnd w:id="22"/>
    <w:p>
      <w:pPr>
        <w:pStyle w:val="4"/>
      </w:pPr>
      <w:bookmarkStart w:id="23" w:name="first-90-day-plan"/>
      <w:r>
        <w:t>4.6 First 90-day plan</w:t>
      </w:r>
    </w:p>
    <w:p>
      <w:pPr>
        <w:pStyle w:val="23"/>
      </w:pPr>
      <w:r>
        <w:rPr>
          <w:b/>
          <w:bCs/>
        </w:rPr>
        <w:t>Days 0-30 · Capture, trustworthily.</w:t>
      </w:r>
      <w:r>
        <w:t xml:space="preserve"> Ship the Event Gateway (§2), the core taxonomy (§1.1), S3 raw + warehouse, and the </w:t>
      </w:r>
      <w:r>
        <w:rPr>
          <w:b/>
          <w:bCs/>
        </w:rPr>
        <w:t>payments↔orders reconciliation</w:t>
      </w:r>
      <w:r>
        <w:t xml:space="preserve"> check. </w:t>
      </w:r>
      <w:r>
        <w:rPr>
          <w:i/>
          <w:iCs/>
        </w:rPr>
        <w:t>Risk reduced first: silent event loss and unreconcilable revenue</w:t>
      </w:r>
      <w:r>
        <w:t xml:space="preserve">, the two failures that poison everything downstream. </w:t>
      </w:r>
      <w:r>
        <w:rPr>
          <w:b/>
          <w:bCs/>
        </w:rPr>
        <w:t>Not yet:</w:t>
      </w:r>
      <w:r>
        <w:t xml:space="preserve"> ClickHouse, ML, agents.</w:t>
      </w:r>
    </w:p>
    <w:p>
      <w:pPr>
        <w:pStyle w:val="3"/>
      </w:pPr>
      <w:r>
        <w:rPr>
          <w:b/>
          <w:bCs/>
        </w:rPr>
        <w:t>Days 30-60 · Model &amp; see.</w:t>
      </w:r>
      <w:r>
        <w:t xml:space="preserve"> dbt marts, first BI dashboards (GMV, funnels, live-show performance), segments (§4.2), and freshness/anomaly checks. Add ClickHouse only if live-ops dashboards need sub-second latency.</w:t>
      </w:r>
    </w:p>
    <w:p>
      <w:pPr>
        <w:pStyle w:val="3"/>
      </w:pPr>
      <w:r>
        <w:rPr>
          <w:b/>
          <w:bCs/>
        </w:rPr>
        <w:t>Days 60-90 · Activate &amp; assist.</w:t>
      </w:r>
      <w:r>
        <w:t xml:space="preserve"> V1 heuristic recommendations behind an A/B holdout, the top 2-3 lifecycle triggers with caps, and a </w:t>
      </w:r>
      <w:r>
        <w:rPr>
          <w:b/>
          <w:bCs/>
        </w:rPr>
        <w:t>thin-slice Buyer Support Agent</w:t>
      </w:r>
      <w:r>
        <w:t xml:space="preserve"> (RAG over policies + read-only order tool) with guardrails and human escalation, measured, not launched wide.</w:t>
      </w:r>
    </w:p>
    <w:p>
      <w:pPr>
        <w:pStyle w:val="3"/>
      </w:pPr>
      <w:r>
        <w:rPr>
          <w:b/>
          <w:bCs/>
        </w:rPr>
        <w:t>Team support I’d need:</w:t>
      </w:r>
      <w:r>
        <w:t xml:space="preserve"> one data/analytics engineer to share the pipeline load, product/design partnership on notification UX, and clear ownership of the payments ledger for reconciliation. </w:t>
      </w:r>
      <w:r>
        <w:rPr>
          <w:b/>
          <w:bCs/>
        </w:rPr>
        <w:t>Risks reduced early:</w:t>
      </w:r>
      <w:r>
        <w:t xml:space="preserve"> data loss, revenue mismatch, notification spam, and agent hallucination on money-related facts, deliberately the earliest things I harden, because they’re the ones that erode trust fastest in a live marketplace.</w:t>
      </w:r>
    </w:p>
    <w:p>
      <w:pPr>
        <w:pStyle w:val="3"/>
      </w:pPr>
    </w:p>
    <w:bookmarkEnd w:id="17"/>
    <w:bookmarkEnd w:id="23"/>
    <w:sectPr>
      <w:pgSz w:w="12240" w:h="15840"/>
      <w:pgMar w:top="1008" w:right="1080" w:bottom="1008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2"/>
  </w:compat>
  <w:rsids>
    <w:rsidRoot w:val="00000000"/>
    <w:rsid w:val="027D59A0"/>
    <w:rsid w:val="09F4661B"/>
    <w:rsid w:val="165C66DE"/>
    <w:rsid w:val="3C3A5BA8"/>
    <w:rsid w:val="47E3503E"/>
    <w:rsid w:val="611C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2026-07-07T17:27:00Z</dcterms:created>
  <dc:creator>Candidate Response</dc:creator>
  <cp:lastModifiedBy>Administrator</cp:lastModifiedBy>
  <dcterms:modified xsi:type="dcterms:W3CDTF">2026-07-16T00:23:49Z</dcterms:modified>
  <dc:title>Rwaj AI &amp; Data Platform Engineer Assessment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