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论私募投资基金保底条款的效力认定"/>
    <w:p>
      <w:pPr>
        <w:pStyle w:val="1"/>
      </w:pPr>
      <w:r>
        <w:rPr>
          <w:rFonts w:hint="eastAsia"/>
        </w:rPr>
        <w:t xml:space="preserve">论私募投资基金保底条款的效力认定</w:t>
      </w:r>
    </w:p>
    <w:p>
      <w:pPr>
        <w:pStyle w:val="FirstParagraph"/>
      </w:pPr>
      <w:r>
        <w:rPr>
          <w:rFonts w:hint="eastAsia"/>
        </w:rPr>
        <w:t xml:space="preserve">曾雯雯</w:t>
      </w:r>
    </w:p>
    <w:p>
      <w:pPr>
        <w:pStyle w:val="a0"/>
      </w:pPr>
      <w:r>
        <w:rPr>
          <w:rFonts w:hint="eastAsia"/>
        </w:rPr>
        <w:t xml:space="preserve">(华东政法大学</w:t>
      </w:r>
      <w:r>
        <w:t xml:space="preserve"> </w:t>
      </w:r>
      <w:r>
        <w:rPr>
          <w:rFonts w:hint="eastAsia"/>
        </w:rPr>
        <w:t xml:space="preserve">上海</w:t>
      </w:r>
      <w:r>
        <w:t xml:space="preserve"> </w:t>
      </w:r>
      <w:r>
        <w:rPr>
          <w:rFonts w:hint="eastAsia"/>
        </w:rPr>
        <w:t xml:space="preserve">长宁</w:t>
      </w:r>
      <w:r>
        <w:t xml:space="preserve"> 200042)</w:t>
      </w:r>
    </w:p>
    <w:p>
      <w:pPr>
        <w:pStyle w:val="a0"/>
      </w:pPr>
      <w:r>
        <w:rPr>
          <w:rFonts w:hint="eastAsia"/>
        </w:rPr>
        <w:t xml:space="preserve">内容摘要:《资管新规》对打破金融机构资管产品的刚兑行为意义重大,但对非金融机构的私募投资基金是否适用尚无定论。《私募投资基金监督管理条例》仅规定管理人不得向投资者保底承诺,较《资管新规》刚兑条款在形式和范围上缩小。本文从法律、司法两方面辨析刚兑条款和保底条款,</w:t>
      </w:r>
      <w:r>
        <w:t xml:space="preserve"> </w:t>
      </w:r>
      <w:r>
        <w:rPr>
          <w:rFonts w:hint="eastAsia"/>
        </w:rPr>
        <w:t xml:space="preserve">认为保底条款背离信托关系实质和信托财产独立性,</w:t>
      </w:r>
      <w:r>
        <w:t xml:space="preserve"> </w:t>
      </w:r>
      <w:r>
        <w:rPr>
          <w:rFonts w:hint="eastAsia"/>
        </w:rPr>
        <w:t xml:space="preserve">违背民法公平原则,</w:t>
      </w:r>
      <w:r>
        <w:t xml:space="preserve"> </w:t>
      </w:r>
      <w:r>
        <w:rPr>
          <w:rFonts w:hint="eastAsia"/>
        </w:rPr>
        <w:t xml:space="preserve">应予禁止;</w:t>
      </w:r>
      <w:r>
        <w:t xml:space="preserve"> </w:t>
      </w:r>
      <w:r>
        <w:rPr>
          <w:rFonts w:hint="eastAsia"/>
        </w:rPr>
        <w:t xml:space="preserve">滚动发行在私募投资基金领域也应明确禁止;对于事后主动偿付行为,</w:t>
      </w:r>
      <w:r>
        <w:t xml:space="preserve"> </w:t>
      </w:r>
      <w:r>
        <w:rPr>
          <w:rFonts w:hint="eastAsia"/>
        </w:rPr>
        <w:t xml:space="preserve">在私募投资基金领域则应不同于金融机构的资管产品,不能一律认定其无效,应根据个案具体情况进行判断,以更好保护投资者权益,推动私募基金行业发展。</w:t>
      </w:r>
    </w:p>
    <w:p>
      <w:pPr>
        <w:pStyle w:val="a0"/>
      </w:pPr>
      <w:r>
        <w:rPr>
          <w:rFonts w:hint="eastAsia"/>
        </w:rPr>
        <w:t xml:space="preserve">关键词:私募投资基金；保底条款；刚性兑付；信义义务</w:t>
      </w:r>
    </w:p>
    <w:p>
      <w:pPr>
        <w:pStyle w:val="a0"/>
      </w:pPr>
      <w:r>
        <w:rPr>
          <w:rFonts w:hint="eastAsia"/>
        </w:rPr>
        <w:t xml:space="preserve">中图分类号:F832.48</w:t>
      </w:r>
      <w:r>
        <w:t xml:space="preserve"> </w:t>
      </w:r>
      <w:r>
        <w:rPr>
          <w:rFonts w:hint="eastAsia"/>
        </w:rPr>
        <w:t xml:space="preserve">文献标识码:A</w:t>
      </w:r>
      <w:r>
        <w:t xml:space="preserve"> </w:t>
      </w:r>
      <w:r>
        <w:rPr>
          <w:rFonts w:hint="eastAsia"/>
        </w:rPr>
        <w:t xml:space="preserve">文章编号:2095-8501(2025)03-0051-06</w:t>
      </w:r>
    </w:p>
    <w:p>
      <w:pPr>
        <w:pStyle w:val="a0"/>
      </w:pPr>
      <w:r>
        <w:t xml:space="preserve">DOI:10.16459/j.cnki.15-1370/f.2025.03.012</w:t>
      </w:r>
    </w:p>
    <w:bookmarkEnd w:id="20"/>
    <w:bookmarkStart w:id="22" w:name="一问题的提出"/>
    <w:p>
      <w:pPr>
        <w:pStyle w:val="1"/>
      </w:pPr>
      <w:r>
        <w:rPr>
          <w:rFonts w:hint="eastAsia"/>
        </w:rPr>
        <w:t xml:space="preserve">一、问题的提出</w:t>
      </w:r>
    </w:p>
    <w:p>
      <w:pPr>
        <w:pStyle w:val="FirstParagraph"/>
      </w:pPr>
      <w:r>
        <w:rPr>
          <w:rFonts w:hint="eastAsia"/>
        </w:rPr>
        <w:t xml:space="preserve">私募基金是指以非公开方式向特定投资者募集资金,</w:t>
      </w:r>
      <w:r>
        <w:t xml:space="preserve"> </w:t>
      </w:r>
      <w:r>
        <w:rPr>
          <w:rFonts w:hint="eastAsia"/>
        </w:rPr>
        <w:t xml:space="preserve">由基金管理人为投资人利益进行运作的财富管理方式,</w:t>
      </w:r>
      <w:r>
        <w:t xml:space="preserve"> </w:t>
      </w:r>
      <w:r>
        <w:rPr>
          <w:rFonts w:hint="eastAsia"/>
        </w:rPr>
        <w:t xml:space="preserve">可以根据管理人是否为金融机构分为资管产品和私募投资基金。在我国,</w:t>
      </w:r>
      <w:r>
        <w:t xml:space="preserve"> </w:t>
      </w:r>
      <w:r>
        <w:rPr>
          <w:rFonts w:hint="eastAsia"/>
        </w:rPr>
        <w:t xml:space="preserve">私募基金为资金需求者提供了灵活的融资方式和较高的融资额度,</w:t>
      </w:r>
      <w:r>
        <w:t xml:space="preserve"> </w:t>
      </w:r>
      <w:r>
        <w:rPr>
          <w:rFonts w:hint="eastAsia"/>
        </w:rPr>
        <w:t xml:space="preserve">但由于缺乏法律法规和统一监管,</w:t>
      </w:r>
      <w:r>
        <w:t xml:space="preserve"> </w:t>
      </w:r>
      <w:r>
        <w:rPr>
          <w:rFonts w:hint="eastAsia"/>
        </w:rPr>
        <w:t xml:space="preserve">虚假陈述、滚动发行、承诺保本保收益等现象大量存在,严重侵害投资者利益,妨碍市场公平竞争甚至引发金融风险。对此应从法理与监管上慎思明辨,探索如何适当、合理地予以监管,</w:t>
      </w:r>
      <w:r>
        <w:t xml:space="preserve"> </w:t>
      </w:r>
      <w:r>
        <w:rPr>
          <w:rFonts w:hint="eastAsia"/>
        </w:rPr>
        <w:t xml:space="preserve">以在保护投资者权益的同时促进行业发展与维护金融秩序稳定。</w:t>
      </w:r>
    </w:p>
    <w:p>
      <w:pPr>
        <w:pStyle w:val="a0"/>
      </w:pPr>
      <w:r>
        <w:rPr>
          <w:rFonts w:hint="eastAsia"/>
        </w:rPr>
        <w:t xml:space="preserve">实践中围绕私募基金存在多种类型的纠纷,</w:t>
      </w:r>
      <w:r>
        <w:t xml:space="preserve"> </w:t>
      </w:r>
      <w:r>
        <w:rPr>
          <w:rFonts w:hint="eastAsia"/>
        </w:rPr>
        <w:t xml:space="preserve">其中管理人或发行人作出保本保收益承诺引发的纠纷较为突出。在资产管理业务中,</w:t>
      </w:r>
      <w:r>
        <w:t xml:space="preserve"> </w:t>
      </w:r>
      <w:r>
        <w:rPr>
          <w:rFonts w:hint="eastAsia"/>
        </w:rPr>
        <w:t xml:space="preserve">主要是作为管理人或发行人的金融机构竞相提供刚兑条款来促进资管产品销售,使得投资者过度关注预期收益而忽视项目底层资产质量；且在产品发生亏损时,个别金融机构未能履行刚性兑付承诺可能将风险传导至整个金融市场,引发系统性风险。对此,</w:t>
      </w:r>
      <w:r>
        <w:t xml:space="preserve"> 2018 </w:t>
      </w:r>
      <w:r>
        <w:rPr>
          <w:rFonts w:hint="eastAsia"/>
        </w:rPr>
        <w:t xml:space="preserve">年</w:t>
      </w:r>
      <w:r>
        <w:t xml:space="preserve"> 4 </w:t>
      </w:r>
      <w:r>
        <w:rPr>
          <w:rFonts w:hint="eastAsia"/>
        </w:rPr>
        <w:t xml:space="preserve">月颁布的《关于规范金融机构资产管理业务的指导意见》(以下简称《资管新规》)</w:t>
      </w:r>
      <w:r>
        <w:t xml:space="preserve"> </w:t>
      </w:r>
      <w:r>
        <w:rPr>
          <w:rFonts w:hint="eastAsia"/>
        </w:rPr>
        <w:t xml:space="preserve">作为资管领域首部多部门联合发文统合监管的范例,</w:t>
      </w:r>
      <w:r>
        <w:t xml:space="preserve"> </w:t>
      </w:r>
      <w:r>
        <w:rPr>
          <w:rFonts w:hint="eastAsia"/>
        </w:rPr>
        <w:t xml:space="preserve">明确监管机构对刚兑条款持否定态度,</w:t>
      </w:r>
      <w:r>
        <w:t xml:space="preserve"> </w:t>
      </w:r>
      <w:r>
        <w:rPr>
          <w:rFonts w:hint="eastAsia"/>
        </w:rPr>
        <w:t xml:space="preserve">并具体界定了其表现形式,</w:t>
      </w:r>
      <w:r>
        <w:t xml:space="preserve"> </w:t>
      </w:r>
      <w:r>
        <w:rPr>
          <w:rFonts w:hint="eastAsia"/>
        </w:rPr>
        <w:t xml:space="preserve">在规定行政责任之余有奖鼓励向监管机关举报刚性兑付,</w:t>
      </w:r>
      <w:r>
        <w:t xml:space="preserve"> </w:t>
      </w:r>
      <w:r>
        <w:rPr>
          <w:rFonts w:hint="eastAsia"/>
        </w:rPr>
        <w:t xml:space="preserve">意义重大。制定相关条款的目的,</w:t>
      </w:r>
      <w:r>
        <w:t xml:space="preserve"> </w:t>
      </w:r>
      <w:r>
        <w:rPr>
          <w:rFonts w:hint="eastAsia"/>
        </w:rPr>
        <w:t xml:space="preserve">在于规范金融机构行为,</w:t>
      </w:r>
      <w:r>
        <w:t xml:space="preserve"> </w:t>
      </w:r>
      <w:r>
        <w:rPr>
          <w:rFonts w:hint="eastAsia"/>
        </w:rPr>
        <w:t xml:space="preserve">防止通过层层嵌套获取不正当利益,</w:t>
      </w:r>
      <w:r>
        <w:t xml:space="preserve"> </w:t>
      </w:r>
      <w:r>
        <w:rPr>
          <w:rFonts w:hint="eastAsia"/>
        </w:rPr>
        <w:t xml:space="preserve">对金融机构表内外业务风险进行严格隔离。但私募投资基金与资管产品存在区别,</w:t>
      </w:r>
      <w:r>
        <w:t xml:space="preserve"> </w:t>
      </w:r>
      <w:r>
        <w:rPr>
          <w:rFonts w:hint="eastAsia"/>
        </w:rPr>
        <w:t xml:space="preserve">笔者认为需单独讨论其保底条款的类型和效力。</w:t>
      </w:r>
    </w:p>
    <w:p>
      <w:pPr>
        <w:pStyle w:val="a0"/>
      </w:pPr>
      <w:r>
        <w:rPr>
          <w:rFonts w:hint="eastAsia"/>
        </w:rPr>
        <w:t xml:space="preserve">在私募投资基金中,保底条款指作为私募基金管理人的非金融机构在募、投、管、退任一阶段,</w:t>
      </w:r>
      <w:r>
        <w:t xml:space="preserve"> </w:t>
      </w:r>
      <w:r>
        <w:rPr>
          <w:rFonts w:hint="eastAsia"/>
        </w:rPr>
        <w:t xml:space="preserve">对投资者所作的保证本金不受损失,</w:t>
      </w:r>
      <w:r>
        <w:t xml:space="preserve"> </w:t>
      </w:r>
      <w:r>
        <w:rPr>
          <w:rFonts w:hint="eastAsia"/>
        </w:rPr>
        <w:t xml:space="preserve">保证最低收益的承诺。2023</w:t>
      </w:r>
      <w:r>
        <w:t xml:space="preserve"> </w:t>
      </w:r>
      <w:r>
        <w:rPr>
          <w:rFonts w:hint="eastAsia"/>
        </w:rPr>
        <w:t xml:space="preserve">年</w:t>
      </w:r>
      <w:r>
        <w:t xml:space="preserve"> 7 </w:t>
      </w:r>
      <w:r>
        <w:rPr>
          <w:rFonts w:hint="eastAsia"/>
        </w:rPr>
        <w:t xml:space="preserve">月首部私募投资基金行业行政法规《私募投资基金监督管理条例》</w:t>
      </w:r>
      <w:r>
        <w:t xml:space="preserve"> </w:t>
      </w:r>
      <w:r>
        <w:rPr>
          <w:rFonts w:hint="eastAsia"/>
        </w:rPr>
        <w:t xml:space="preserve">(以下简称《条例》)发布,针对保底条款,《条例》</w:t>
      </w:r>
      <w:r>
        <w:t xml:space="preserve"> </w:t>
      </w:r>
      <w:r>
        <w:rPr>
          <w:rFonts w:hint="eastAsia"/>
        </w:rPr>
        <w:t xml:space="preserve">第二十条明确规定:</w:t>
      </w:r>
      <w:r>
        <w:t xml:space="preserve"> </w:t>
      </w:r>
      <w:r>
        <w:rPr>
          <w:rFonts w:hint="eastAsia"/>
        </w:rPr>
        <w:t xml:space="preserve">不得向投资者承诺投资本金不受损失或者承诺最低收益。但规制范围比</w:t>
      </w:r>
      <w:r>
        <w:t xml:space="preserve"> </w:t>
      </w:r>
      <w:r>
        <w:rPr>
          <w:rFonts w:hint="eastAsia"/>
        </w:rPr>
        <w:t xml:space="preserve">《资管新规》中明确的刚兑条款形式有所缩小,</w:t>
      </w:r>
      <w:r>
        <w:t xml:space="preserve"> </w:t>
      </w:r>
      <w:r>
        <w:rPr>
          <w:rFonts w:hint="eastAsia"/>
        </w:rPr>
        <w:t xml:space="preserve">根据《资管新规》第二条第(三)款规定,私募投资基金专门法律法规没有规定的适用本意见,</w:t>
      </w:r>
      <w:r>
        <w:t xml:space="preserve"> </w:t>
      </w:r>
      <w:r>
        <w:rPr>
          <w:rFonts w:hint="eastAsia"/>
        </w:rPr>
        <w:t xml:space="preserve">那么对私募投资基金的保底条款,</w:t>
      </w:r>
      <w:r>
        <w:t xml:space="preserve"> </w:t>
      </w:r>
      <w:r>
        <w:rPr>
          <w:rFonts w:hint="eastAsia"/>
        </w:rPr>
        <w:t xml:space="preserve">是否无需像对金融机构资管产品一样严苛?</w:t>
      </w:r>
      <w:r>
        <w:t xml:space="preserve"> </w:t>
      </w:r>
      <w:r>
        <w:rPr>
          <w:rFonts w:hint="eastAsia"/>
        </w:rPr>
        <w:t xml:space="preserve">还是应该同样适用?</w:t>
      </w:r>
      <w:r>
        <w:t xml:space="preserve"> </w:t>
      </w:r>
      <w:r>
        <w:rPr>
          <w:rFonts w:hint="eastAsia"/>
        </w:rPr>
        <w:t xml:space="preserve">本文将从理论和司法实践两方面梳理私募投资基金保底条款,</w:t>
      </w:r>
      <w:r>
        <w:t xml:space="preserve"> </w:t>
      </w:r>
      <w:r>
        <w:rPr>
          <w:rFonts w:hint="eastAsia"/>
        </w:rPr>
        <w:t xml:space="preserve">辨析刚兑与保底条款形式,</w:t>
      </w:r>
      <w:r>
        <w:t xml:space="preserve"> </w:t>
      </w:r>
      <w:r>
        <w:rPr>
          <w:rFonts w:hint="eastAsia"/>
        </w:rPr>
        <w:t xml:space="preserve">厘清对金融机构资产管理与私募投资基金监管理念和手段的差异。</w:t>
      </w:r>
    </w:p>
    <w:p>
      <w:pPr>
        <w:pStyle w:val="a0"/>
      </w:pPr>
      <w:r>
        <w:rPr>
          <w:rStyle w:val="ac"/>
        </w:rPr>
        <w:footnoteReference w:id="21"/>
      </w:r>
    </w:p>
    <w:bookmarkEnd w:id="22"/>
    <w:bookmarkStart w:id="23" w:name="Xf5c9d29dab3dd0e4f8e6c20afa64f4f411da7fc"/>
    <w:p>
      <w:pPr>
        <w:pStyle w:val="1"/>
      </w:pPr>
      <w:r>
        <w:rPr>
          <w:rFonts w:hint="eastAsia"/>
        </w:rPr>
        <w:t xml:space="preserve">二、私募投资基金保底条款的成因</w:t>
      </w:r>
      <w:r>
        <w:t xml:space="preserve"> </w:t>
      </w:r>
      <m:oMath>
        <m:sSup>
          <m:e>
            <m:r>
              <m:t>​</m:t>
            </m:r>
          </m:e>
          <m:sup>
            <m:r>
              <m:rPr>
                <m:nor/>
                <m:sty m:val="p"/>
              </m:rPr>
              <m:t> ① </m:t>
            </m:r>
          </m:sup>
        </m:sSup>
      </m:oMath>
    </w:p>
    <w:bookmarkEnd w:id="23"/>
    <w:bookmarkStart w:id="24" w:name="一私募投资基金法律制度不健全"/>
    <w:p>
      <w:pPr>
        <w:pStyle w:val="1"/>
      </w:pPr>
      <w:r>
        <w:rPr>
          <w:rFonts w:hint="eastAsia"/>
        </w:rPr>
        <w:t xml:space="preserve">(一)私募投资基金法律制度不健全</w:t>
      </w:r>
    </w:p>
    <w:p>
      <w:pPr>
        <w:pStyle w:val="FirstParagraph"/>
      </w:pPr>
      <w:r>
        <w:t xml:space="preserve">20 </w:t>
      </w:r>
      <w:r>
        <w:rPr>
          <w:rFonts w:hint="eastAsia"/>
        </w:rPr>
        <w:t xml:space="preserve">世纪</w:t>
      </w:r>
      <w:r>
        <w:t xml:space="preserve"> 90 </w:t>
      </w:r>
      <w:r>
        <w:rPr>
          <w:rFonts w:hint="eastAsia"/>
        </w:rPr>
        <w:t xml:space="preserve">年代初,随着我国资本市场初步建立和人民经济逐渐富足,市场对大客户资产管理类业务需求增加,</w:t>
      </w:r>
      <w:r>
        <w:t xml:space="preserve"> </w:t>
      </w:r>
      <w:r>
        <w:rPr>
          <w:rFonts w:hint="eastAsia"/>
        </w:rPr>
        <w:t xml:space="preserve">私募基金在我国应运而生。但作为舶来品,其在我国的发展历程较短,</w:t>
      </w:r>
      <w:r>
        <w:t xml:space="preserve"> </w:t>
      </w:r>
      <w:r>
        <w:rPr>
          <w:rFonts w:hint="eastAsia"/>
        </w:rPr>
        <w:t xml:space="preserve">多数金融法规对其规制较为粗略,缺乏详细标准和措施。具体到私募基金保底条款,</w:t>
      </w:r>
      <w:r>
        <w:t xml:space="preserve"> 2014 </w:t>
      </w:r>
      <w:r>
        <w:rPr>
          <w:rFonts w:hint="eastAsia"/>
        </w:rPr>
        <w:t xml:space="preserve">年证监会发布的《私募投资基金监督管理办法》仅明确私募基金管理人不得向投资者承诺保本保收益,并未对具体情形细化。随着私募基金发展,</w:t>
      </w:r>
      <w:r>
        <w:t xml:space="preserve"> </w:t>
      </w:r>
      <w:r>
        <w:rPr>
          <w:rFonts w:hint="eastAsia"/>
        </w:rPr>
        <w:t xml:space="preserve">保底条款纠纷频出,</w:t>
      </w:r>
      <w:r>
        <w:t xml:space="preserve"> </w:t>
      </w:r>
      <w:r>
        <w:rPr>
          <w:rFonts w:hint="eastAsia"/>
        </w:rPr>
        <w:t xml:space="preserve">证监会于</w:t>
      </w:r>
      <w:r>
        <w:t xml:space="preserve"> 2020 </w:t>
      </w:r>
      <w:r>
        <w:rPr>
          <w:rFonts w:hint="eastAsia"/>
        </w:rPr>
        <w:t xml:space="preserve">年发布《关于加强私募投资基金监管的若干规定》,具体列举了签订保底条款的行为类型,</w:t>
      </w:r>
      <w:r>
        <w:t xml:space="preserve"> </w:t>
      </w:r>
      <w:r>
        <w:rPr>
          <w:rFonts w:hint="eastAsia"/>
        </w:rPr>
        <w:t xml:space="preserve">对司法实践意义重大。但这两部文件效力层级较低,</w:t>
      </w:r>
      <w:r>
        <w:t xml:space="preserve"> </w:t>
      </w:r>
      <w:r>
        <w:rPr>
          <w:rFonts w:hint="eastAsia"/>
        </w:rPr>
        <w:t xml:space="preserve">难以被监管机构或司法机关直接引用,</w:t>
      </w:r>
      <w:r>
        <w:t xml:space="preserve"> </w:t>
      </w:r>
      <w:r>
        <w:rPr>
          <w:rFonts w:hint="eastAsia"/>
        </w:rPr>
        <w:t xml:space="preserve">致使保本保收益行为无法彻底消除。2023</w:t>
      </w:r>
      <w:r>
        <w:t xml:space="preserve"> </w:t>
      </w:r>
      <w:r>
        <w:rPr>
          <w:rFonts w:hint="eastAsia"/>
        </w:rPr>
        <w:t xml:space="preserve">年</w:t>
      </w:r>
      <w:r>
        <w:t xml:space="preserve"> 7 </w:t>
      </w:r>
      <w:r>
        <w:rPr>
          <w:rFonts w:hint="eastAsia"/>
        </w:rPr>
        <w:t xml:space="preserve">月出台的《条例》</w:t>
      </w:r>
      <w:r>
        <w:t xml:space="preserve"> </w:t>
      </w:r>
      <w:r>
        <w:rPr>
          <w:rFonts w:hint="eastAsia"/>
        </w:rPr>
        <w:t xml:space="preserve">明确作为非金融机构的管理人不得对投资者作出保本保收益承诺,但并未像《资管新规》一样明确具体的行为类型,</w:t>
      </w:r>
      <w:r>
        <w:t xml:space="preserve"> </w:t>
      </w:r>
      <w:r>
        <w:rPr>
          <w:rFonts w:hint="eastAsia"/>
        </w:rPr>
        <w:t xml:space="preserve">导致司法机关认定仍存在一定难度。</w:t>
      </w:r>
    </w:p>
    <w:bookmarkEnd w:id="24"/>
    <w:bookmarkStart w:id="25" w:name="二对保底条款作为隐性担保的依赖"/>
    <w:p>
      <w:pPr>
        <w:pStyle w:val="1"/>
      </w:pPr>
      <w:r>
        <w:rPr>
          <w:rFonts w:hint="eastAsia"/>
        </w:rPr>
        <w:t xml:space="preserve">(二)对保底条款作为隐性担保的依赖</w:t>
      </w:r>
    </w:p>
    <w:p>
      <w:pPr>
        <w:pStyle w:val="FirstParagraph"/>
      </w:pPr>
      <w:r>
        <w:rPr>
          <w:rFonts w:hint="eastAsia"/>
        </w:rPr>
        <w:t xml:space="preserve">按照私募投资基金常规运作模式,</w:t>
      </w:r>
      <w:r>
        <w:t xml:space="preserve"> </w:t>
      </w:r>
      <w:r>
        <w:rPr>
          <w:rFonts w:hint="eastAsia"/>
        </w:rPr>
        <w:t xml:space="preserve">管理人以非公开方式向特定投资者募集资金,</w:t>
      </w:r>
      <w:r>
        <w:t xml:space="preserve"> </w:t>
      </w:r>
      <w:r>
        <w:rPr>
          <w:rFonts w:hint="eastAsia"/>
        </w:rPr>
        <w:t xml:space="preserve">并将该笔资金用于特定目标,</w:t>
      </w:r>
      <w:r>
        <w:t xml:space="preserve"> </w:t>
      </w:r>
      <w:r>
        <w:rPr>
          <w:rFonts w:hint="eastAsia"/>
        </w:rPr>
        <w:t xml:space="preserve">之后将得到的收益按事先约定的比例进行分配,</w:t>
      </w:r>
      <w:r>
        <w:t xml:space="preserve"> </w:t>
      </w:r>
      <w:r>
        <w:rPr>
          <w:rFonts w:hint="eastAsia"/>
        </w:rPr>
        <w:t xml:space="preserve">投资者需在此过程中对管理人是否履行勤勉尽责义务进行监督。而约定了保底条款后,无论私募基金实际运作情况如何,管理人均对投资人承担保本保收益责任,可见该条款实际上是对投资者投资基金的一种隐形担保手段,投资者无需进行监督,也不用承担风险就能享受收益。</w:t>
      </w:r>
    </w:p>
    <w:p>
      <w:pPr>
        <w:pStyle w:val="a0"/>
      </w:pPr>
      <w:r>
        <w:rPr>
          <w:rFonts w:hint="eastAsia"/>
        </w:rPr>
        <w:t xml:space="preserve">(三)资本逐利性促使保底条款的长期存在保底条款使得信托关系中风险与收益对等的经济规律被打破,</w:t>
      </w:r>
      <w:r>
        <w:t xml:space="preserve"> </w:t>
      </w:r>
      <w:r>
        <w:rPr>
          <w:rFonts w:hint="eastAsia"/>
        </w:rPr>
        <w:t xml:space="preserve">投资人不用承担风险却能获得稳定收益,</w:t>
      </w:r>
      <w:r>
        <w:t xml:space="preserve"> </w:t>
      </w:r>
      <w:r>
        <w:rPr>
          <w:rFonts w:hint="eastAsia"/>
        </w:rPr>
        <w:t xml:space="preserve">这使得其丧失风险判断能力和正确的理财观念,</w:t>
      </w:r>
      <w:r>
        <w:t xml:space="preserve"> </w:t>
      </w:r>
      <w:r>
        <w:rPr>
          <w:rFonts w:hint="eastAsia"/>
        </w:rPr>
        <w:t xml:space="preserve">盲目进入私募基金市场。并且,</w:t>
      </w:r>
      <w:r>
        <w:t xml:space="preserve"> </w:t>
      </w:r>
      <w:r>
        <w:rPr>
          <w:rFonts w:hint="eastAsia"/>
        </w:rPr>
        <w:t xml:space="preserve">从追逐经济利益和趋利避害的角度出发,</w:t>
      </w:r>
      <w:r>
        <w:t xml:space="preserve"> </w:t>
      </w:r>
      <w:r>
        <w:rPr>
          <w:rFonts w:hint="eastAsia"/>
        </w:rPr>
        <w:t xml:space="preserve">即使投资人知道保底条款违反法律规定,其依旧会选择</w:t>
      </w:r>
      <w:r>
        <w:rPr>
          <w:rFonts w:hint="eastAsia"/>
        </w:rPr>
        <w:t xml:space="preserve">“无风险、高收益”</w:t>
      </w:r>
      <w:r>
        <w:rPr>
          <w:rFonts w:hint="eastAsia"/>
        </w:rPr>
        <w:t xml:space="preserve">的基金产品。正是因为有需求才会有市场,</w:t>
      </w:r>
      <w:r>
        <w:t xml:space="preserve"> </w:t>
      </w:r>
      <w:r>
        <w:rPr>
          <w:rFonts w:hint="eastAsia"/>
        </w:rPr>
        <w:t xml:space="preserve">投资者的这种倾向性选择,</w:t>
      </w:r>
      <w:r>
        <w:t xml:space="preserve"> </w:t>
      </w:r>
      <w:r>
        <w:rPr>
          <w:rFonts w:hint="eastAsia"/>
        </w:rPr>
        <w:t xml:space="preserve">也促成了私募基金管理人冒着违法的风险与投资人签订保底条款。</w:t>
      </w:r>
    </w:p>
    <w:bookmarkEnd w:id="25"/>
    <w:bookmarkStart w:id="26" w:name="四受托人的信义义务被忽视"/>
    <w:p>
      <w:pPr>
        <w:pStyle w:val="1"/>
      </w:pPr>
      <w:r>
        <w:rPr>
          <w:rFonts w:hint="eastAsia"/>
        </w:rPr>
        <w:t xml:space="preserve">(四)受托人的信义义务被忽视</w:t>
      </w:r>
    </w:p>
    <w:p>
      <w:pPr>
        <w:pStyle w:val="FirstParagraph"/>
      </w:pPr>
      <w:r>
        <w:rPr>
          <w:rFonts w:hint="eastAsia"/>
        </w:rPr>
        <w:t xml:space="preserve">《中华人民共和国信托法》规定受托人应对委托人和受益人负有信义义务,</w:t>
      </w:r>
      <w:r>
        <w:t xml:space="preserve"> </w:t>
      </w:r>
      <w:r>
        <w:rPr>
          <w:rFonts w:hint="eastAsia"/>
        </w:rPr>
        <w:t xml:space="preserve">包括忠实义务和勤勉义务。前者指禁止受托人为受益人以外的人的利益行事；后者指受托人应当尽到勤勉的善良管理人义务。发行人或管理人作出保本保收益承诺在多数情况下违背了信义义务,应受到法律规制。但在司法实践中,</w:t>
      </w:r>
      <w:r>
        <w:t xml:space="preserve"> </w:t>
      </w:r>
      <w:r>
        <w:rPr>
          <w:rFonts w:hint="eastAsia"/>
        </w:rPr>
        <w:t xml:space="preserve">法院审理私募基金保底条款纠纷案件常依合同案件思路,</w:t>
      </w:r>
      <w:r>
        <w:t xml:space="preserve"> </w:t>
      </w:r>
      <w:r>
        <w:rPr>
          <w:rFonts w:hint="eastAsia"/>
        </w:rPr>
        <w:t xml:space="preserve">先判断基金合同是否有效,</w:t>
      </w:r>
      <w:r>
        <w:t xml:space="preserve"> </w:t>
      </w:r>
      <w:r>
        <w:rPr>
          <w:rFonts w:hint="eastAsia"/>
        </w:rPr>
        <w:t xml:space="preserve">再论述受托人是否存在违约。显然,</w:t>
      </w:r>
      <w:r>
        <w:t xml:space="preserve"> </w:t>
      </w:r>
      <w:r>
        <w:rPr>
          <w:rFonts w:hint="eastAsia"/>
        </w:rPr>
        <w:t xml:space="preserve">法院更关注合同有关的法律问题,</w:t>
      </w:r>
      <w:r>
        <w:t xml:space="preserve"> </w:t>
      </w:r>
      <w:r>
        <w:rPr>
          <w:rFonts w:hint="eastAsia"/>
        </w:rPr>
        <w:t xml:space="preserve">而对信托法律关系顾及不足,</w:t>
      </w:r>
      <w:r>
        <w:t xml:space="preserve"> </w:t>
      </w:r>
      <w:r>
        <w:rPr>
          <w:rFonts w:hint="eastAsia"/>
        </w:rPr>
        <w:t xml:space="preserve">较少深究受托人忠实勤勉义务履行情况及是否公平对待不同受益人。这固然与《中华人民共和国信托法》对信义义务规定的过于抽象、难以适用有关,但该种裁判思路确实不利于明确受托人义务以及对保底条款的法律规制。</w:t>
      </w:r>
    </w:p>
    <w:bookmarkEnd w:id="26"/>
    <w:bookmarkStart w:id="28" w:name="三私募投资基金保底条款的本质"/>
    <w:p>
      <w:pPr>
        <w:pStyle w:val="1"/>
      </w:pPr>
      <w:r>
        <w:rPr>
          <w:rFonts w:hint="eastAsia"/>
        </w:rPr>
        <w:t xml:space="preserve">三、私募投资基金保底条款的本质</w:t>
      </w:r>
    </w:p>
    <w:p>
      <w:pPr>
        <w:pStyle w:val="FirstParagraph"/>
      </w:pPr>
      <w:r>
        <w:rPr>
          <w:rFonts w:hint="eastAsia"/>
        </w:rPr>
        <w:t xml:space="preserve">私募投资基金是指以非公开方式向特定投资者募集资金并投向特定目标的基金,</w:t>
      </w:r>
      <w:r>
        <w:t xml:space="preserve"> </w:t>
      </w:r>
      <w:r>
        <w:rPr>
          <w:rFonts w:hint="eastAsia"/>
        </w:rPr>
        <w:t xml:space="preserve">本质是信托法律关系,</w:t>
      </w:r>
      <w:r>
        <w:t xml:space="preserve"> </w:t>
      </w:r>
      <m:oMath>
        <m:sSup>
          <m:e>
            <m:r>
              <m:t>​</m:t>
            </m:r>
          </m:e>
          <m:sup>
            <m:r>
              <m:rPr>
                <m:sty m:val="p"/>
              </m:rPr>
              <m:t>②</m:t>
            </m:r>
          </m:sup>
        </m:sSup>
      </m:oMath>
      <w:r>
        <w:t xml:space="preserve"> </w:t>
      </w:r>
      <w:r>
        <w:rPr>
          <w:rFonts w:hint="eastAsia"/>
        </w:rPr>
        <w:t xml:space="preserve">具有</w:t>
      </w:r>
      <w:r>
        <w:rPr>
          <w:rFonts w:hint="eastAsia"/>
        </w:rPr>
        <w:t xml:space="preserve">“受人之托、代人理财”</w:t>
      </w:r>
      <w:r>
        <w:rPr>
          <w:rFonts w:hint="eastAsia"/>
        </w:rPr>
        <w:t xml:space="preserve">的特征。私募基金保底条款则是指作为私募基金管理人的非金融机构对投资者作出的保障本金或收益的承诺。将本应由投资者承担的风险转移给受托人,有违</w:t>
      </w:r>
      <w:r>
        <w:rPr>
          <w:rFonts w:hint="eastAsia"/>
        </w:rPr>
        <w:t xml:space="preserve">“卖者有责,买者自负”</w:t>
      </w:r>
      <w:r>
        <w:rPr>
          <w:rFonts w:hint="eastAsia"/>
        </w:rPr>
        <w:t xml:space="preserve">的适当性义务。</w:t>
      </w:r>
    </w:p>
    <w:p>
      <w:pPr>
        <w:pStyle w:val="a0"/>
      </w:pPr>
      <w:r>
        <w:rPr>
          <w:rStyle w:val="ac"/>
        </w:rPr>
        <w:footnoteReference w:id="27"/>
      </w:r>
    </w:p>
    <w:bookmarkEnd w:id="28"/>
    <w:bookmarkStart w:id="29" w:name="一保底条款违背信托关系实质和信托财-产独立性"/>
    <w:p>
      <w:pPr>
        <w:pStyle w:val="1"/>
      </w:pPr>
      <w:r>
        <w:rPr>
          <w:rFonts w:hint="eastAsia"/>
        </w:rPr>
        <w:t xml:space="preserve">(一)保底条款违背信托关系实质和信托财</w:t>
      </w:r>
      <w:r>
        <w:t xml:space="preserve"> </w:t>
      </w:r>
      <w:r>
        <w:rPr>
          <w:rFonts w:hint="eastAsia"/>
        </w:rPr>
        <w:t xml:space="preserve">产独立性</w:t>
      </w:r>
    </w:p>
    <w:p>
      <w:pPr>
        <w:pStyle w:val="FirstParagraph"/>
      </w:pPr>
      <w:r>
        <w:rPr>
          <w:rFonts w:hint="eastAsia"/>
        </w:rPr>
        <w:t xml:space="preserve">根据《条例》规定,</w:t>
      </w:r>
      <w:r>
        <w:t xml:space="preserve"> </w:t>
      </w:r>
      <w:r>
        <w:rPr>
          <w:rFonts w:hint="eastAsia"/>
        </w:rPr>
        <w:t xml:space="preserve">私募基金财产独立于管理人固有财产,</w:t>
      </w:r>
      <w:r>
        <w:t xml:space="preserve"> </w:t>
      </w:r>
      <w:r>
        <w:rPr>
          <w:rFonts w:hint="eastAsia"/>
        </w:rPr>
        <w:t xml:space="preserve">债务由私募基金财产本身承担,</w:t>
      </w:r>
      <w:r>
        <w:t xml:space="preserve"> </w:t>
      </w:r>
      <w:r>
        <w:rPr>
          <w:rFonts w:hint="eastAsia"/>
        </w:rPr>
        <w:t xml:space="preserve">这表明投资人与管理人之间不是债权债务关系,而是信托关系。依据《中华人民共和国信托法》规定,受托人履行勤勉尽责义务后,因第三人原因导致亏损的,</w:t>
      </w:r>
      <w:r>
        <w:t xml:space="preserve"> </w:t>
      </w:r>
      <w:r>
        <w:rPr>
          <w:rFonts w:hint="eastAsia"/>
        </w:rPr>
        <w:t xml:space="preserve">受托人对投资人不负有赔偿义务。但按照保底条款的要求,</w:t>
      </w:r>
      <w:r>
        <w:t xml:space="preserve"> </w:t>
      </w:r>
      <w:r>
        <w:rPr>
          <w:rFonts w:hint="eastAsia"/>
        </w:rPr>
        <w:t xml:space="preserve">即便非受托人原因导致基金风险,受托人仍需向投资人担责,</w:t>
      </w:r>
      <w:r>
        <w:t xml:space="preserve"> </w:t>
      </w:r>
      <w:r>
        <w:rPr>
          <w:rFonts w:hint="eastAsia"/>
        </w:rPr>
        <w:t xml:space="preserve">这使得投资人不再关注受托人是否履行忠实勤勉义务,而是一味追求本金安全和预期收益。事实上保本保收益的行为使得私募基金业务成为一种高息存款或储蓄行为,</w:t>
      </w:r>
      <w:r>
        <w:t xml:space="preserve"> </w:t>
      </w:r>
      <w:r>
        <w:rPr>
          <w:rFonts w:hint="eastAsia"/>
        </w:rPr>
        <w:t xml:space="preserve">打破信托风险与收益对等的规律,偏离了信托关系实质。</w:t>
      </w:r>
    </w:p>
    <w:p>
      <w:pPr>
        <w:pStyle w:val="a0"/>
      </w:pPr>
      <w:r>
        <w:rPr>
          <w:rFonts w:hint="eastAsia"/>
        </w:rPr>
        <w:t xml:space="preserve">同时,</w:t>
      </w:r>
      <w:r>
        <w:t xml:space="preserve"> </w:t>
      </w:r>
      <w:r>
        <w:rPr>
          <w:rFonts w:hint="eastAsia"/>
        </w:rPr>
        <w:t xml:space="preserve">信托法的核心是信托财产独立性,</w:t>
      </w:r>
      <w:r>
        <w:t xml:space="preserve"> </w:t>
      </w:r>
      <w:r>
        <w:rPr>
          <w:rFonts w:hint="eastAsia"/>
        </w:rPr>
        <w:t xml:space="preserve">即信托成立生效后,</w:t>
      </w:r>
      <w:r>
        <w:t xml:space="preserve"> </w:t>
      </w:r>
      <w:r>
        <w:rPr>
          <w:rFonts w:hint="eastAsia"/>
        </w:rPr>
        <w:t xml:space="preserve">信托财产与委托人、受托人和受益人的固有财产相分离,</w:t>
      </w:r>
      <w:r>
        <w:t xml:space="preserve"> </w:t>
      </w:r>
      <w:r>
        <w:rPr>
          <w:rFonts w:hint="eastAsia"/>
        </w:rPr>
        <w:t xml:space="preserve">受托人仅以信托财产为限向受益人支付信托利益。然而,</w:t>
      </w:r>
      <w:r>
        <w:t xml:space="preserve"> </w:t>
      </w:r>
      <w:r>
        <w:rPr>
          <w:rFonts w:hint="eastAsia"/>
        </w:rPr>
        <w:t xml:space="preserve">根据保底条款的要求,</w:t>
      </w:r>
      <w:r>
        <w:t xml:space="preserve"> </w:t>
      </w:r>
      <w:r>
        <w:rPr>
          <w:rFonts w:hint="eastAsia"/>
        </w:rPr>
        <w:t xml:space="preserve">部分受托人直接或变相向投资者承诺到期返还本金或支付固定收益,</w:t>
      </w:r>
      <w:r>
        <w:t xml:space="preserve"> </w:t>
      </w:r>
      <w:r>
        <w:rPr>
          <w:rFonts w:hint="eastAsia"/>
        </w:rPr>
        <w:t xml:space="preserve">此时受托人以其固有财产承担责任,一旦亏空,可能出现</w:t>
      </w:r>
      <w:r>
        <w:t xml:space="preserve"> </w:t>
      </w:r>
      <w:r>
        <w:rPr>
          <w:rFonts w:hint="eastAsia"/>
        </w:rPr>
        <w:t xml:space="preserve">“拆东墙补西墙”</w:t>
      </w:r>
      <w:r>
        <w:rPr>
          <w:rFonts w:hint="eastAsia"/>
        </w:rPr>
        <w:t xml:space="preserve">的恶劣行为,</w:t>
      </w:r>
      <w:r>
        <w:t xml:space="preserve"> </w:t>
      </w:r>
      <w:r>
        <w:rPr>
          <w:rFonts w:hint="eastAsia"/>
        </w:rPr>
        <w:t xml:space="preserve">造成固有财产与其他投资者的信托财产混同,</w:t>
      </w:r>
      <w:r>
        <w:t xml:space="preserve"> </w:t>
      </w:r>
      <w:r>
        <w:rPr>
          <w:rFonts w:hint="eastAsia"/>
        </w:rPr>
        <w:t xml:space="preserve">有违信托财产独立性原则。</w:t>
      </w:r>
    </w:p>
    <w:bookmarkEnd w:id="29"/>
    <w:bookmarkStart w:id="30" w:name="二保底条款违背民法公平原则"/>
    <w:p>
      <w:pPr>
        <w:pStyle w:val="1"/>
      </w:pPr>
      <w:r>
        <w:rPr>
          <w:rFonts w:hint="eastAsia"/>
        </w:rPr>
        <w:t xml:space="preserve">(二)保底条款违背民法公平原则</w:t>
      </w:r>
    </w:p>
    <w:p>
      <w:pPr>
        <w:pStyle w:val="FirstParagraph"/>
      </w:pPr>
      <w:r>
        <w:rPr>
          <w:rFonts w:hint="eastAsia"/>
        </w:rPr>
        <w:t xml:space="preserve">民法公平原则是指民事主体参与法律关系机会均等,当事人权利义务均衡,责任负担合理。私募基金保底条款约定受托人对投资人事先进行保本保收益,</w:t>
      </w:r>
      <w:r>
        <w:t xml:space="preserve"> </w:t>
      </w:r>
      <w:r>
        <w:rPr>
          <w:rFonts w:hint="eastAsia"/>
        </w:rPr>
        <w:t xml:space="preserve">实际上是将私募基金中的全部责任转嫁至受托人,形成</w:t>
      </w:r>
      <w:r>
        <w:rPr>
          <w:rFonts w:hint="eastAsia"/>
        </w:rPr>
        <w:t xml:space="preserve">“名为信托实为借贷”</w:t>
      </w:r>
      <w:r>
        <w:rPr>
          <w:rFonts w:hint="eastAsia"/>
        </w:rPr>
        <w:t xml:space="preserve">的法律关系。投资人与受托人之间权利义务严重不对等,一旦出现问题,风险自担的公平理念将丧失作用。</w:t>
      </w:r>
    </w:p>
    <w:p>
      <w:pPr>
        <w:pStyle w:val="a0"/>
      </w:pPr>
      <w:r>
        <w:rPr>
          <w:rFonts w:hint="eastAsia"/>
        </w:rPr>
        <w:t xml:space="preserve">但也应当意识到意思自治原则的重要性,</w:t>
      </w:r>
      <w:r>
        <w:t xml:space="preserve"> </w:t>
      </w:r>
      <w:r>
        <w:rPr>
          <w:rFonts w:hint="eastAsia"/>
        </w:rPr>
        <w:t xml:space="preserve">其作为民法中代表性原则之一,</w:t>
      </w:r>
      <w:r>
        <w:t xml:space="preserve"> </w:t>
      </w:r>
      <w:r>
        <w:rPr>
          <w:rFonts w:hint="eastAsia"/>
        </w:rPr>
        <w:t xml:space="preserve">核心是契约自由,</w:t>
      </w:r>
      <w:r>
        <w:t xml:space="preserve"> </w:t>
      </w:r>
      <w:r>
        <w:rPr>
          <w:rFonts w:hint="eastAsia"/>
        </w:rPr>
        <w:t xml:space="preserve">赋予并保障每个民事主体按照其意志自由进行民事活动的权利,</w:t>
      </w:r>
      <w:r>
        <w:t xml:space="preserve"> </w:t>
      </w:r>
      <w:r>
        <w:rPr>
          <w:rFonts w:hint="eastAsia"/>
        </w:rPr>
        <w:t xml:space="preserve">其自愿缔结的合同受法律保护,排除国家和他人的非法干预。</w:t>
      </w:r>
    </w:p>
    <w:p>
      <w:pPr>
        <w:pStyle w:val="a0"/>
      </w:pPr>
      <w:r>
        <w:rPr>
          <w:rFonts w:hint="eastAsia"/>
        </w:rPr>
        <w:t xml:space="preserve">公平原则和意思自治原则虽均为民法基本原则,</w:t>
      </w:r>
      <w:r>
        <w:t xml:space="preserve"> </w:t>
      </w:r>
      <w:r>
        <w:rPr>
          <w:rFonts w:hint="eastAsia"/>
        </w:rPr>
        <w:t xml:space="preserve">但承载的民法价值不同,</w:t>
      </w:r>
      <w:r>
        <w:t xml:space="preserve"> </w:t>
      </w:r>
      <w:r>
        <w:rPr>
          <w:rFonts w:hint="eastAsia"/>
        </w:rPr>
        <w:t xml:space="preserve">在具体应用尤其是金融活动中常存在冲突,</w:t>
      </w:r>
      <w:r>
        <w:t xml:space="preserve"> </w:t>
      </w:r>
      <w:r>
        <w:rPr>
          <w:rFonts w:hint="eastAsia"/>
        </w:rPr>
        <w:t xml:space="preserve">故而明确金融监管与契约自由的界限是关键。若管理人与投资者基于平等地位协商约定保本保收益,</w:t>
      </w:r>
      <w:r>
        <w:t xml:space="preserve"> </w:t>
      </w:r>
      <w:r>
        <w:rPr>
          <w:rFonts w:hint="eastAsia"/>
        </w:rPr>
        <w:t xml:space="preserve">且符合商事活动的价值追求、不损害投资者权益和金融稳定秩序,</w:t>
      </w:r>
      <w:r>
        <w:t xml:space="preserve"> </w:t>
      </w:r>
      <w:r>
        <w:rPr>
          <w:rFonts w:hint="eastAsia"/>
        </w:rPr>
        <w:t xml:space="preserve">监管机构应予以尊重。过分强调</w:t>
      </w:r>
      <w:r>
        <w:rPr>
          <w:rFonts w:hint="eastAsia"/>
        </w:rPr>
        <w:t xml:space="preserve">“具有一定经济实力和信息优势的商人应当与普通自然人享有同等权利并承担同等义务和责任”</w:t>
      </w:r>
      <w:r>
        <w:t xml:space="preserve">, </w:t>
      </w:r>
      <w:r>
        <w:rPr>
          <w:rFonts w:hint="eastAsia"/>
        </w:rPr>
        <w:t xml:space="preserve">将会以表面的公平掩盖实际的不公平。故而,</w:t>
      </w:r>
      <w:r>
        <w:t xml:space="preserve"> </w:t>
      </w:r>
      <w:r>
        <w:rPr>
          <w:rFonts w:hint="eastAsia"/>
        </w:rPr>
        <w:t xml:space="preserve">需依实际情况判断,</w:t>
      </w:r>
      <w:r>
        <w:t xml:space="preserve"> </w:t>
      </w:r>
      <w:r>
        <w:rPr>
          <w:rFonts w:hint="eastAsia"/>
        </w:rPr>
        <w:t xml:space="preserve">当投资人与管理人的权利义务严重失衡,</w:t>
      </w:r>
      <w:r>
        <w:t xml:space="preserve"> </w:t>
      </w:r>
      <w:r>
        <w:rPr>
          <w:rFonts w:hint="eastAsia"/>
        </w:rPr>
        <w:t xml:space="preserve">应侧重公平原则保障各方利益均衡；若保底条款能让委托人低风险获取投资保障且无金融风险隐患,应尊重当事人的意思自治和契约自由。</w:t>
      </w:r>
    </w:p>
    <w:bookmarkEnd w:id="30"/>
    <w:bookmarkStart w:id="32" w:name="三保底条款与刚兑条款之辨"/>
    <w:p>
      <w:pPr>
        <w:pStyle w:val="1"/>
      </w:pPr>
      <w:r>
        <w:rPr>
          <w:rFonts w:hint="eastAsia"/>
        </w:rPr>
        <w:t xml:space="preserve">(三)保底条款与刚兑条款之辨</w:t>
      </w:r>
    </w:p>
    <w:p>
      <w:pPr>
        <w:pStyle w:val="FirstParagraph"/>
      </w:pPr>
      <w:r>
        <w:rPr>
          <w:rFonts w:hint="eastAsia"/>
        </w:rPr>
        <w:t xml:space="preserve">在《条例》中,</w:t>
      </w:r>
      <w:r>
        <w:t xml:space="preserve"> </w:t>
      </w:r>
      <w:r>
        <w:rPr>
          <w:rFonts w:hint="eastAsia"/>
        </w:rPr>
        <w:t xml:space="preserve">作为私募基金管理人的非金融机构向投资者承诺保证本金不受损失或承诺最低收益的行为主要构成保底条款；而在《资管新规》中,金融机构作为资管产品管理人向投资者作出保本保收益承诺的行为主要构成刚性兑付。二者核心虽都是保本保收益,但在管理人类型和具体内容上存在差异。</w:t>
      </w:r>
    </w:p>
    <w:p>
      <w:pPr>
        <w:pStyle w:val="a0"/>
      </w:pPr>
      <w:r>
        <w:rPr>
          <w:rFonts w:hint="eastAsia"/>
        </w:rPr>
        <w:t xml:space="preserve">1.保底条款的形式。在我国资本市场,主要将私募基金保底条款的形式根据作出保底承诺的阶段分为两种。第一种</w:t>
      </w:r>
      <w:r>
        <w:rPr>
          <w:rFonts w:hint="eastAsia"/>
        </w:rPr>
        <w:t xml:space="preserve">“事前承诺型”</w:t>
      </w:r>
      <w:r>
        <w:rPr>
          <w:rFonts w:hint="eastAsia"/>
        </w:rPr>
        <w:t xml:space="preserve">保底条款是指,基金管理人在募集说明书或基金合同中通过</w:t>
      </w:r>
      <w:r>
        <w:rPr>
          <w:rFonts w:hint="eastAsia"/>
        </w:rPr>
        <w:t xml:space="preserve">“回购协议”</w:t>
      </w:r>
      <w:r>
        <w:rPr>
          <w:rFonts w:hint="eastAsia"/>
        </w:rPr>
        <w:t xml:space="preserve">“差额补足”</w:t>
      </w:r>
      <w:r>
        <w:rPr>
          <w:rFonts w:hint="eastAsia"/>
        </w:rPr>
        <w:t xml:space="preserve">等方式向投资者承诺保本保收益。第二种</w:t>
      </w:r>
      <w:r>
        <w:rPr>
          <w:rFonts w:hint="eastAsia"/>
        </w:rPr>
        <w:t xml:space="preserve">“事后主动偿付型”</w:t>
      </w:r>
      <w:r>
        <w:rPr>
          <w:rFonts w:hint="eastAsia"/>
        </w:rPr>
        <w:t xml:space="preserve">保底条款是指,产品发行时无承诺,在基金实际损失或者将要出现损失时,管理人主动或被动与投资者签署《还款协议》、承诺函等,承诺兑付本金或收益。</w:t>
      </w:r>
    </w:p>
    <w:p>
      <w:pPr>
        <w:pStyle w:val="a0"/>
      </w:pPr>
      <w:r>
        <w:t xml:space="preserve">2. </w:t>
      </w:r>
      <w:r>
        <w:rPr>
          <w:rFonts w:hint="eastAsia"/>
        </w:rPr>
        <w:t xml:space="preserve">刚兑条款的形式。《资管新规》为规范金融机构提供的资管业务,</w:t>
      </w:r>
      <w:r>
        <w:t xml:space="preserve"> </w:t>
      </w:r>
      <w:r>
        <w:rPr>
          <w:rFonts w:hint="eastAsia"/>
        </w:rPr>
        <w:t xml:space="preserve">进一步明确了刚兑条款的内容。第一种是典型刚兑,核心为</w:t>
      </w:r>
      <w:r>
        <w:t xml:space="preserve"> </w:t>
      </w:r>
      <w:r>
        <w:rPr>
          <w:rFonts w:hint="eastAsia"/>
        </w:rPr>
        <w:t xml:space="preserve">“保本保收益”</w:t>
      </w:r>
      <w:r>
        <w:t xml:space="preserve">, </w:t>
      </w:r>
      <w:r>
        <w:rPr>
          <w:rFonts w:hint="eastAsia"/>
        </w:rPr>
        <w:t xml:space="preserve">即发行人或管理人违反真实公允确定净值原则,</w:t>
      </w:r>
      <w:r>
        <w:t xml:space="preserve"> </w:t>
      </w:r>
      <w:r>
        <w:rPr>
          <w:rFonts w:hint="eastAsia"/>
        </w:rPr>
        <w:t xml:space="preserve">向投资者承诺保本。第二种是滚动发行,其作为</w:t>
      </w:r>
      <w:r>
        <w:t xml:space="preserve"> </w:t>
      </w:r>
      <w:r>
        <w:rPr>
          <w:rFonts w:hint="eastAsia"/>
        </w:rPr>
        <w:t xml:space="preserve">“资金池”</w:t>
      </w:r>
      <w:r>
        <w:t xml:space="preserve"> </w:t>
      </w:r>
      <w:r>
        <w:rPr>
          <w:rFonts w:hint="eastAsia"/>
        </w:rPr>
        <w:t xml:space="preserve">业务的环节之一,通过分期发行将资管产品的本金、收益、风险在不同投资者间转移,造成</w:t>
      </w:r>
      <w:r>
        <w:rPr>
          <w:rFonts w:hint="eastAsia"/>
        </w:rPr>
        <w:t xml:space="preserve">“借新还旧”</w:t>
      </w:r>
      <w:r>
        <w:t xml:space="preserve"> </w:t>
      </w:r>
      <m:oMath>
        <m:sSup>
          <m:e>
            <m:r>
              <m:t>​</m:t>
            </m:r>
          </m:e>
          <m:sup>
            <m:r>
              <m:rPr>
                <m:nor/>
                <m:sty m:val="p"/>
              </m:rPr>
              <m:t> ① </m:t>
            </m:r>
          </m:sup>
        </m:sSup>
      </m:oMath>
      <w:r>
        <w:t xml:space="preserve"> </w:t>
      </w:r>
      <w:r>
        <w:rPr>
          <w:rFonts w:hint="eastAsia"/>
        </w:rPr>
        <w:t xml:space="preserve">情形,损害后投资者利益。第三种是事后兑付,即在投资期限届满时,资产管理产品若无法如期兑付或兑付困难,</w:t>
      </w:r>
      <w:r>
        <w:t xml:space="preserve"> </w:t>
      </w:r>
      <w:r>
        <w:rPr>
          <w:rFonts w:hint="eastAsia"/>
        </w:rPr>
        <w:t xml:space="preserve">发行人或管理人自行或委托第三方代为垫付。</w:t>
      </w:r>
    </w:p>
    <w:p>
      <w:pPr>
        <w:pStyle w:val="a0"/>
      </w:pPr>
      <w:r>
        <w:rPr>
          <w:rStyle w:val="ac"/>
        </w:rPr>
        <w:footnoteReference w:id="31"/>
      </w:r>
    </w:p>
    <w:p>
      <w:pPr>
        <w:pStyle w:val="a0"/>
      </w:pPr>
      <w:r>
        <w:rPr>
          <w:rFonts w:hint="eastAsia"/>
        </w:rPr>
        <w:t xml:space="preserve">可见目前法律法规对刚兑行为的规定比保底条款更为全面细致,</w:t>
      </w:r>
      <w:r>
        <w:t xml:space="preserve"> </w:t>
      </w:r>
      <w:r>
        <w:rPr>
          <w:rFonts w:hint="eastAsia"/>
        </w:rPr>
        <w:t xml:space="preserve">但不能认为未明确规定即意味着该行为无危害,《条例》的出台仅是私募基金业务纳入法治化的第一步,</w:t>
      </w:r>
      <w:r>
        <w:t xml:space="preserve"> </w:t>
      </w:r>
      <w:r>
        <w:rPr>
          <w:rFonts w:hint="eastAsia"/>
        </w:rPr>
        <w:t xml:space="preserve">后续仍需各类规定的补充和完善。</w:t>
      </w:r>
    </w:p>
    <w:bookmarkEnd w:id="32"/>
    <w:bookmarkStart w:id="33" w:name="四保底条款效力规则"/>
    <w:p>
      <w:pPr>
        <w:pStyle w:val="1"/>
      </w:pPr>
      <w:r>
        <w:rPr>
          <w:rFonts w:hint="eastAsia"/>
        </w:rPr>
        <w:t xml:space="preserve">四、保底条款效力规则</w:t>
      </w:r>
    </w:p>
    <w:p>
      <w:pPr>
        <w:pStyle w:val="FirstParagraph"/>
      </w:pPr>
      <w:r>
        <w:rPr>
          <w:rFonts w:hint="eastAsia"/>
        </w:rPr>
        <w:t xml:space="preserve">鉴于资管产品与私募投资基金存在许多不同之处,</w:t>
      </w:r>
      <w:r>
        <w:t xml:space="preserve"> </w:t>
      </w:r>
      <w:r>
        <w:rPr>
          <w:rFonts w:hint="eastAsia"/>
        </w:rPr>
        <w:t xml:space="preserve">在监管规则上也应有所区别,</w:t>
      </w:r>
      <w:r>
        <w:t xml:space="preserve"> </w:t>
      </w:r>
      <w:r>
        <w:rPr>
          <w:rFonts w:hint="eastAsia"/>
        </w:rPr>
        <w:t xml:space="preserve">故笔者将结合相关规定及司法案例,</w:t>
      </w:r>
      <w:r>
        <w:t xml:space="preserve"> </w:t>
      </w:r>
      <w:r>
        <w:rPr>
          <w:rFonts w:hint="eastAsia"/>
        </w:rPr>
        <w:t xml:space="preserve">深入探究资管产品的刚兑条款形式在私募基金领域是否有必要进行严格限制。</w:t>
      </w:r>
    </w:p>
    <w:bookmarkEnd w:id="33"/>
    <w:bookmarkStart w:id="34" w:name="一以保本保收益为核心的典型刚兑条款"/>
    <w:p>
      <w:pPr>
        <w:pStyle w:val="1"/>
      </w:pPr>
      <w:r>
        <w:rPr>
          <w:rFonts w:hint="eastAsia"/>
        </w:rPr>
        <w:t xml:space="preserve">(一)以保本保收益为核心的典型刚兑条款</w:t>
      </w:r>
    </w:p>
    <w:p>
      <w:pPr>
        <w:pStyle w:val="FirstParagraph"/>
      </w:pPr>
      <w:r>
        <w:rPr>
          <w:rFonts w:hint="eastAsia"/>
        </w:rPr>
        <w:t xml:space="preserve">作为发行人或管理人的金融机构对资管产品承诺保本保收益的行为违背真实公允确定净值原则,</w:t>
      </w:r>
      <w:r>
        <w:t xml:space="preserve"> </w:t>
      </w:r>
      <w:r>
        <w:rPr>
          <w:rFonts w:hint="eastAsia"/>
        </w:rPr>
        <w:t xml:space="preserve">将投资风险停留在金融体系内部,</w:t>
      </w:r>
      <w:r>
        <w:t xml:space="preserve"> </w:t>
      </w:r>
      <w:r>
        <w:rPr>
          <w:rFonts w:hint="eastAsia"/>
        </w:rPr>
        <w:t xml:space="preserve">并割裂投资者投入资金与承担风险之间的相互关系,违背资管产品</w:t>
      </w:r>
      <w:r>
        <w:rPr>
          <w:rFonts w:hint="eastAsia"/>
        </w:rPr>
        <w:t xml:space="preserve">“受人之托、代人理财”</w:t>
      </w:r>
      <w:r>
        <w:rPr>
          <w:rFonts w:hint="eastAsia"/>
        </w:rPr>
        <w:t xml:space="preserve">的特征,因此被《资管新规》明确禁止。继而应当分析在私募投资领域,</w:t>
      </w:r>
      <w:r>
        <w:t xml:space="preserve"> </w:t>
      </w:r>
      <w:r>
        <w:rPr>
          <w:rFonts w:hint="eastAsia"/>
        </w:rPr>
        <w:t xml:space="preserve">该行为是否存在严重危害足以使监管机构对其明令禁止。</w:t>
      </w:r>
    </w:p>
    <w:p>
      <w:pPr>
        <w:pStyle w:val="a0"/>
      </w:pPr>
      <w:r>
        <w:rPr>
          <w:rFonts w:hint="eastAsia"/>
        </w:rPr>
        <w:t xml:space="preserve">首先,</w:t>
      </w:r>
      <w:r>
        <w:t xml:space="preserve"> </w:t>
      </w:r>
      <w:r>
        <w:rPr>
          <w:rFonts w:hint="eastAsia"/>
        </w:rPr>
        <w:t xml:space="preserve">私募基金管理人是非金融机构,</w:t>
      </w:r>
      <w:r>
        <w:t xml:space="preserve"> </w:t>
      </w:r>
      <w:r>
        <w:rPr>
          <w:rFonts w:hint="eastAsia"/>
        </w:rPr>
        <w:t xml:space="preserve">其设立无需行政审批,履行备案登记手续即可,</w:t>
      </w:r>
      <w:r>
        <w:t xml:space="preserve"> </w:t>
      </w:r>
      <m:oMath>
        <m:sSup>
          <m:e>
            <m:r>
              <m:t>​</m:t>
            </m:r>
          </m:e>
          <m:sup>
            <m:r>
              <m:rPr>
                <m:nor/>
                <m:sty m:val="p"/>
              </m:rPr>
              <m:t> ① </m:t>
            </m:r>
          </m:sup>
        </m:sSup>
      </m:oMath>
      <w:r>
        <w:t xml:space="preserve"> </w:t>
      </w:r>
      <w:r>
        <w:rPr>
          <w:rFonts w:hint="eastAsia"/>
        </w:rPr>
        <w:t xml:space="preserve">这与需要获得行政许可的金融机构有所不同。</w:t>
      </w:r>
      <w:r>
        <w:t xml:space="preserve"> </w:t>
      </w:r>
      <w:r>
        <w:rPr>
          <w:rFonts w:hint="eastAsia"/>
        </w:rPr>
        <w:t xml:space="preserve">但其所从事的私募投资基金业务仍属于金融活动,</w:t>
      </w:r>
      <w:r>
        <w:t xml:space="preserve"> </w:t>
      </w:r>
      <w:r>
        <w:rPr>
          <w:rFonts w:hint="eastAsia"/>
        </w:rPr>
        <w:t xml:space="preserve">需遵循基本的经济规律。然而保底条款的约定易扰乱市场经济秩序,</w:t>
      </w:r>
      <w:r>
        <w:t xml:space="preserve"> </w:t>
      </w:r>
      <w:r>
        <w:rPr>
          <w:rFonts w:hint="eastAsia"/>
        </w:rPr>
        <w:t xml:space="preserve">与资本市场基本规则相冲突。其次,在金融市场中,由于信息不对称、投资理财产品的复杂性,</w:t>
      </w:r>
      <w:r>
        <w:t xml:space="preserve"> </w:t>
      </w:r>
      <w:r>
        <w:rPr>
          <w:rFonts w:hint="eastAsia"/>
        </w:rPr>
        <w:t xml:space="preserve">金融消费者很难凭借自身水平发现</w:t>
      </w:r>
      <w:r>
        <w:rPr>
          <w:rFonts w:hint="eastAsia"/>
        </w:rPr>
        <w:t xml:space="preserve">“投资陷阱”</w:t>
      </w:r>
      <w:r>
        <w:t xml:space="preserve">, </w:t>
      </w:r>
      <w:r>
        <w:rPr>
          <w:rFonts w:hint="eastAsia"/>
        </w:rPr>
        <w:t xml:space="preserve">此时管理人利用投资者的盲目性向其作出保本保收益承诺,</w:t>
      </w:r>
      <w:r>
        <w:t xml:space="preserve"> </w:t>
      </w:r>
      <w:r>
        <w:rPr>
          <w:rFonts w:hint="eastAsia"/>
        </w:rPr>
        <w:t xml:space="preserve">存在诱导投资者投资进而获取不正当利益的故意。再次,</w:t>
      </w:r>
      <w:r>
        <w:t xml:space="preserve"> </w:t>
      </w:r>
      <w:r>
        <w:rPr>
          <w:rFonts w:hint="eastAsia"/>
        </w:rPr>
        <w:t xml:space="preserve">司法实践中常将存在保底条款的私募基金合同认定为借款合同,</w:t>
      </w:r>
      <w:r>
        <w:t xml:space="preserve"> </w:t>
      </w:r>
      <w:r>
        <w:rPr>
          <w:rFonts w:hint="eastAsia"/>
        </w:rPr>
        <w:t xml:space="preserve">如张旭红与合益资产管理股份有限公司纠纷,</w:t>
      </w:r>
      <w:r>
        <w:t xml:space="preserve"> </w:t>
      </w:r>
      <m:oMath>
        <m:sSup>
          <m:e>
            <m:r>
              <m:t>​</m:t>
            </m:r>
          </m:e>
          <m:sup>
            <m:r>
              <m:rPr>
                <m:nor/>
                <m:sty m:val="p"/>
              </m:rPr>
              <m:t> ② </m:t>
            </m:r>
          </m:sup>
        </m:sSup>
      </m:oMath>
      <w:r>
        <w:t xml:space="preserve"> </w:t>
      </w:r>
      <w:r>
        <w:rPr>
          <w:rFonts w:hint="eastAsia"/>
        </w:rPr>
        <w:t xml:space="preserve">法院认为原、被告签订的《转让协议》与《补充协议》名义上为基金份额转让协议实质上为借款合同,</w:t>
      </w:r>
      <w:r>
        <w:t xml:space="preserve"> </w:t>
      </w:r>
      <w:r>
        <w:rPr>
          <w:rFonts w:hint="eastAsia"/>
        </w:rPr>
        <w:t xml:space="preserve">根据《中华人民共和国民法典》第</w:t>
      </w:r>
      <w:r>
        <w:t xml:space="preserve"> 146 </w:t>
      </w:r>
      <w:r>
        <w:rPr>
          <w:rFonts w:hint="eastAsia"/>
        </w:rPr>
        <w:t xml:space="preserve">条的规定,</w:t>
      </w:r>
      <w:r>
        <w:t xml:space="preserve"> </w:t>
      </w:r>
      <w:r>
        <w:rPr>
          <w:rFonts w:hint="eastAsia"/>
        </w:rPr>
        <w:t xml:space="preserve">以虚假意思表示实施的民事法律行为无效。即双方签订的私募基金合同无效,按借款合同认定双方间法律关系。</w:t>
      </w:r>
    </w:p>
    <w:p>
      <w:pPr>
        <w:pStyle w:val="a0"/>
      </w:pPr>
      <w:r>
        <w:rPr>
          <w:rFonts w:hint="eastAsia"/>
        </w:rPr>
        <w:t xml:space="preserve">综上所述,</w:t>
      </w:r>
      <w:r>
        <w:t xml:space="preserve"> </w:t>
      </w:r>
      <w:r>
        <w:rPr>
          <w:rFonts w:hint="eastAsia"/>
        </w:rPr>
        <w:t xml:space="preserve">笔者认为《条例》第二十条规定的保底条款实际上是刚性兑付的第一种形式,</w:t>
      </w:r>
      <w:r>
        <w:t xml:space="preserve"> </w:t>
      </w:r>
      <w:r>
        <w:rPr>
          <w:rFonts w:hint="eastAsia"/>
        </w:rPr>
        <w:t xml:space="preserve">核心均为作为管理人的金融机构或非金融机构向投资者作出保本保收益承诺,其违法性明显,</w:t>
      </w:r>
      <w:r>
        <w:t xml:space="preserve"> </w:t>
      </w:r>
      <w:r>
        <w:rPr>
          <w:rFonts w:hint="eastAsia"/>
        </w:rPr>
        <w:t xml:space="preserve">应受到监管机构的严格规制。</w:t>
      </w:r>
    </w:p>
    <w:bookmarkEnd w:id="34"/>
    <w:bookmarkStart w:id="36" w:name="二滚动发行类刚兑条款"/>
    <w:p>
      <w:pPr>
        <w:pStyle w:val="1"/>
      </w:pPr>
      <w:r>
        <w:rPr>
          <w:rFonts w:hint="eastAsia"/>
        </w:rPr>
        <w:t xml:space="preserve">(二)滚动发行类刚兑条款</w:t>
      </w:r>
    </w:p>
    <w:p>
      <w:pPr>
        <w:pStyle w:val="FirstParagraph"/>
      </w:pPr>
      <w:r>
        <w:rPr>
          <w:rFonts w:hint="eastAsia"/>
        </w:rPr>
        <w:t xml:space="preserve">在金融理财产品中,</w:t>
      </w:r>
      <w:r>
        <w:t xml:space="preserve"> </w:t>
      </w:r>
      <w:r>
        <w:rPr>
          <w:rFonts w:hint="eastAsia"/>
        </w:rPr>
        <w:t xml:space="preserve">滚动发行表现为以新发行产品的资金兑付前期产品投资者的本金或收益,</w:t>
      </w:r>
      <w:r>
        <w:t xml:space="preserve"> </w:t>
      </w:r>
      <w:r>
        <w:rPr>
          <w:rFonts w:hint="eastAsia"/>
        </w:rPr>
        <w:t xml:space="preserve">导致金融机构产生大量表外放贷,</w:t>
      </w:r>
      <w:r>
        <w:t xml:space="preserve"> </w:t>
      </w:r>
      <w:r>
        <w:rPr>
          <w:rFonts w:hint="eastAsia"/>
        </w:rPr>
        <w:t xml:space="preserve">形成规模庞大的</w:t>
      </w:r>
      <w:r>
        <w:rPr>
          <w:rFonts w:hint="eastAsia"/>
        </w:rPr>
        <w:t xml:space="preserve">“影子银行”</w:t>
      </w:r>
      <w:r>
        <w:rPr>
          <w:rFonts w:hint="eastAsia"/>
        </w:rPr>
        <w:t xml:space="preserve">,一旦资金不足无法兑付本金收益,将引发金融危机。因此,滚动发行常与混合运作、期限错配等一起作为</w:t>
      </w:r>
      <w:r>
        <w:t xml:space="preserve"> </w:t>
      </w:r>
      <w:r>
        <w:rPr>
          <w:rFonts w:hint="eastAsia"/>
        </w:rPr>
        <w:t xml:space="preserve">“资金池业务”</w:t>
      </w:r>
      <w:r>
        <w:t xml:space="preserve">, </w:t>
      </w:r>
      <w:r>
        <w:rPr>
          <w:rFonts w:hint="eastAsia"/>
        </w:rPr>
        <w:t xml:space="preserve">被各金融监管规章所禁止。《资管新规》也明确禁止在投资者间转移产品本金、收益和风险来保本保收益。</w:t>
      </w:r>
    </w:p>
    <w:p>
      <w:pPr>
        <w:pStyle w:val="a0"/>
      </w:pPr>
      <w:r>
        <w:rPr>
          <w:rFonts w:hint="eastAsia"/>
        </w:rPr>
        <w:t xml:space="preserve">在私募基金领域,</w:t>
      </w:r>
      <w:r>
        <w:t xml:space="preserve"> </w:t>
      </w:r>
      <w:r>
        <w:rPr>
          <w:rFonts w:hint="eastAsia"/>
        </w:rPr>
        <w:t xml:space="preserve">滚动发行主要表现为受托人分期募集资金,</w:t>
      </w:r>
      <w:r>
        <w:t xml:space="preserve"> </w:t>
      </w:r>
      <w:r>
        <w:rPr>
          <w:rFonts w:hint="eastAsia"/>
        </w:rPr>
        <w:t xml:space="preserve">并用后续募集的资金来支付前期投资者的预期收益,</w:t>
      </w:r>
      <w:r>
        <w:t xml:space="preserve"> </w:t>
      </w:r>
      <w:r>
        <w:rPr>
          <w:rFonts w:hint="eastAsia"/>
        </w:rPr>
        <w:t xml:space="preserve">实质上是受托人利用不同投资人履行期限的时间差,</w:t>
      </w:r>
      <w:r>
        <w:t xml:space="preserve"> </w:t>
      </w:r>
      <w:r>
        <w:rPr>
          <w:rFonts w:hint="eastAsia"/>
        </w:rPr>
        <w:t xml:space="preserve">使用后投资者资金实现对在先投资者的保本保收益。第一,</w:t>
      </w:r>
      <w:r>
        <w:t xml:space="preserve"> </w:t>
      </w:r>
      <w:r>
        <w:rPr>
          <w:rFonts w:hint="eastAsia"/>
        </w:rPr>
        <w:t xml:space="preserve">该行为导致不同受益人财产相混同,违背《中华人民共和国信托法》规定的信托财产与受托人固有财产相分离、不同受益人之间的信托财产相分离,</w:t>
      </w:r>
      <w:r>
        <w:t xml:space="preserve"> </w:t>
      </w:r>
      <w:r>
        <w:rPr>
          <w:rFonts w:hint="eastAsia"/>
        </w:rPr>
        <w:t xml:space="preserve">使得不同受益人对应的风险和投资收益不确定。第二,根据信托法原理,受托人应时刻履行忠实义务以避免其出于自身利益追求而通过受托地位固有的信息优势从事机会主义行为。但在滚动发行中,管理人未公平对待不同投资者资金,</w:t>
      </w:r>
      <w:r>
        <w:t xml:space="preserve"> </w:t>
      </w:r>
      <w:r>
        <w:rPr>
          <w:rFonts w:hint="eastAsia"/>
        </w:rPr>
        <w:t xml:space="preserve">将自身责任与风险转移给后投资者以获取不当利益,</w:t>
      </w:r>
      <w:r>
        <w:t xml:space="preserve"> </w:t>
      </w:r>
      <w:r>
        <w:rPr>
          <w:rFonts w:hint="eastAsia"/>
        </w:rPr>
        <w:t xml:space="preserve">违背</w:t>
      </w:r>
      <w:r>
        <w:t xml:space="preserve"> </w:t>
      </w:r>
      <w:r>
        <w:rPr>
          <w:rFonts w:hint="eastAsia"/>
        </w:rPr>
        <w:t xml:space="preserve">“实现受益人利益最大化”</w:t>
      </w:r>
      <w:r>
        <w:rPr>
          <w:rFonts w:hint="eastAsia"/>
        </w:rPr>
        <w:t xml:space="preserve">原则。第三,</w:t>
      </w:r>
      <w:r>
        <w:t xml:space="preserve"> </w:t>
      </w:r>
      <w:r>
        <w:rPr>
          <w:rFonts w:hint="eastAsia"/>
        </w:rPr>
        <w:t xml:space="preserve">证监会于</w:t>
      </w:r>
      <w:r>
        <w:t xml:space="preserve"> 2020 </w:t>
      </w:r>
      <w:r>
        <w:rPr>
          <w:rFonts w:hint="eastAsia"/>
        </w:rPr>
        <w:t xml:space="preserve">年发布的《关于加强私募投资基金监管的若干规定》第九条第</w:t>
      </w:r>
      <w:r>
        <w:t xml:space="preserve"> </w:t>
      </w:r>
      <w:r>
        <w:rPr>
          <w:rFonts w:hint="eastAsia"/>
        </w:rPr>
        <w:t xml:space="preserve">(三)项规定私募基金管理人不得开展或者参与具有滚动发行、集合运作、期限错配、分离对价等特征的资金池业务。可见,</w:t>
      </w:r>
      <w:r>
        <w:t xml:space="preserve"> </w:t>
      </w:r>
      <w:r>
        <w:rPr>
          <w:rFonts w:hint="eastAsia"/>
        </w:rPr>
        <w:t xml:space="preserve">监管机构对私募基金管理人实施滚动发行持否定态度。再根据《资管新规》第二条第(三)款规定,</w:t>
      </w:r>
      <w:r>
        <w:t xml:space="preserve"> </w:t>
      </w:r>
      <m:oMath>
        <m:sSup>
          <m:e>
            <m:r>
              <m:t>​</m:t>
            </m:r>
          </m:e>
          <m:sup>
            <m:r>
              <m:rPr>
                <m:nor/>
                <m:sty m:val="p"/>
              </m:rPr>
              <m:t> ① </m:t>
            </m:r>
          </m:sup>
        </m:sSup>
      </m:oMath>
      <w:r>
        <w:t xml:space="preserve"> </w:t>
      </w:r>
      <w:r>
        <w:rPr>
          <w:rFonts w:hint="eastAsia"/>
        </w:rPr>
        <w:t xml:space="preserve">笔者认为滚动发行行为虽未被《条例》明确禁止,但由于其违背了信托财产独立性和受托人信义义务,</w:t>
      </w:r>
      <w:r>
        <w:t xml:space="preserve"> </w:t>
      </w:r>
      <w:r>
        <w:rPr>
          <w:rFonts w:hint="eastAsia"/>
        </w:rPr>
        <w:t xml:space="preserve">严重损害投资者权益,可以直接适用《资管新规》规定对其进行否定性评价。</w:t>
      </w:r>
    </w:p>
    <w:p>
      <w:pPr>
        <w:pStyle w:val="a0"/>
      </w:pPr>
      <w:r>
        <w:rPr>
          <w:rStyle w:val="ac"/>
        </w:rPr>
        <w:footnoteReference w:id="35"/>
      </w:r>
    </w:p>
    <w:bookmarkEnd w:id="36"/>
    <w:bookmarkStart w:id="38" w:name="三事后的自行偿付或委托他人代为偿付-类刚兑条款"/>
    <w:p>
      <w:pPr>
        <w:pStyle w:val="1"/>
      </w:pPr>
      <w:r>
        <w:rPr>
          <w:rFonts w:hint="eastAsia"/>
        </w:rPr>
        <w:t xml:space="preserve">(三)事后的自行偿付或委托他人代为偿付</w:t>
      </w:r>
      <w:r>
        <w:t xml:space="preserve"> </w:t>
      </w:r>
      <w:r>
        <w:rPr>
          <w:rFonts w:hint="eastAsia"/>
        </w:rPr>
        <w:t xml:space="preserve">类刚兑条款</w:t>
      </w:r>
    </w:p>
    <w:p>
      <w:pPr>
        <w:pStyle w:val="FirstParagraph"/>
      </w:pPr>
      <w:r>
        <w:rPr>
          <w:rFonts w:hint="eastAsia"/>
        </w:rPr>
        <w:t xml:space="preserve">《资管新规》对发行人或管理人在资管产品兑付困难时自行或委托他人偿付的刚性兑付行为持否定态度,</w:t>
      </w:r>
      <w:r>
        <w:t xml:space="preserve"> </w:t>
      </w:r>
      <w:r>
        <w:rPr>
          <w:rFonts w:hint="eastAsia"/>
        </w:rPr>
        <w:t xml:space="preserve">原因在于金融机构的无差别承诺偿付易导致其资金短缺,</w:t>
      </w:r>
      <w:r>
        <w:t xml:space="preserve"> </w:t>
      </w:r>
      <w:r>
        <w:rPr>
          <w:rFonts w:hint="eastAsia"/>
        </w:rPr>
        <w:t xml:space="preserve">且将本应由投资者自行承担的投资风险转嫁至金融机构承担,打破了风险与收益相平衡的经济规律。但在私募基金领域,《条例》及其他相关规范性文件未作相关规制,导致司法实践观点不一。</w:t>
      </w:r>
    </w:p>
    <w:p>
      <w:pPr>
        <w:pStyle w:val="a0"/>
      </w:pPr>
      <w:r>
        <w:rPr>
          <w:rFonts w:hint="eastAsia"/>
        </w:rPr>
        <w:t xml:space="preserve">认为</w:t>
      </w:r>
      <w:r>
        <w:rPr>
          <w:rFonts w:hint="eastAsia"/>
        </w:rPr>
        <w:t xml:space="preserve">“事后主动偿付型”</w:t>
      </w:r>
      <w:r>
        <w:rPr>
          <w:rFonts w:hint="eastAsia"/>
        </w:rPr>
        <w:t xml:space="preserve">保底条款有效的裁判观点主要基于三点原因:</w:t>
      </w:r>
      <w:r>
        <w:t xml:space="preserve"> </w:t>
      </w:r>
      <w:r>
        <w:rPr>
          <w:rFonts w:hint="eastAsia"/>
        </w:rPr>
        <w:t xml:space="preserve">一是法律仅禁止受托人在设立最初吸引投资者的刚兑承诺,</w:t>
      </w:r>
      <w:r>
        <w:rPr>
          <w:rFonts w:hint="eastAsia"/>
        </w:rPr>
        <w:t xml:space="preserve">“事后损失赔偿的自主承担”</w:t>
      </w:r>
      <w:r>
        <w:rPr>
          <w:rFonts w:hint="eastAsia"/>
        </w:rPr>
        <w:t xml:space="preserve">不在此列；②二是当事人就合同到期后相关款项的支付或补偿事项达成新的协议系真实意思表示；</w:t>
      </w:r>
      <w:r>
        <w:t xml:space="preserve"> </w:t>
      </w:r>
      <m:oMath>
        <m:sSup>
          <m:e>
            <m:r>
              <m:t>​</m:t>
            </m:r>
          </m:e>
          <m:sup>
            <m:r>
              <m:rPr>
                <m:nor/>
                <m:sty m:val="p"/>
              </m:rPr>
              <m:t> ③ </m:t>
            </m:r>
          </m:sup>
        </m:sSup>
      </m:oMath>
      <w:r>
        <w:t xml:space="preserve"> </w:t>
      </w:r>
      <w:r>
        <w:rPr>
          <w:rFonts w:hint="eastAsia"/>
        </w:rPr>
        <w:t xml:space="preserve">三是私募基金已发生亏损或是存续期届满,此时弥补投资人损失并不违背风险自担的公平原则。</w:t>
      </w:r>
      <w:r>
        <w:t xml:space="preserve"> </w:t>
      </w:r>
      <m:oMath>
        <m:sSup>
          <m:e>
            <m:r>
              <m:t>​</m:t>
            </m:r>
          </m:e>
          <m:sup>
            <m:r>
              <m:rPr>
                <m:nor/>
                <m:sty m:val="p"/>
              </m:rPr>
              <m:t> ④ </m:t>
            </m:r>
          </m:sup>
        </m:sSup>
      </m:oMath>
      <w:r>
        <w:t xml:space="preserve"> </w:t>
      </w:r>
      <w:r>
        <w:rPr>
          <w:rFonts w:hint="eastAsia"/>
        </w:rPr>
        <w:t xml:space="preserve">综合分析能得出共同点在于私募基金已经发生风险并造成损失,</w:t>
      </w:r>
      <w:r>
        <w:t xml:space="preserve"> </w:t>
      </w:r>
      <w:r>
        <w:rPr>
          <w:rFonts w:hint="eastAsia"/>
        </w:rPr>
        <w:t xml:space="preserve">管理人对此主动作出弥补损失的承诺是基于当事人意思自治,且内容不违反法律行政法规的强制性规定,</w:t>
      </w:r>
      <w:r>
        <w:t xml:space="preserve"> </w:t>
      </w:r>
      <w:r>
        <w:rPr>
          <w:rFonts w:hint="eastAsia"/>
        </w:rPr>
        <w:t xml:space="preserve">没有违背私募基金的信托本质,也不会给金融市场带来风险,因而法院判决其合法有效。</w:t>
      </w:r>
    </w:p>
    <w:p>
      <w:pPr>
        <w:pStyle w:val="a0"/>
      </w:pPr>
      <w:r>
        <w:rPr>
          <w:rFonts w:hint="eastAsia"/>
        </w:rPr>
        <w:t xml:space="preserve">判定该类保底条款无效主要基于两点原因:一是在购买理财后签订保底条款,会影响投资机构的存续性及其管理能力,</w:t>
      </w:r>
      <w:r>
        <w:t xml:space="preserve"> </w:t>
      </w:r>
      <w:r>
        <w:rPr>
          <w:rFonts w:hint="eastAsia"/>
        </w:rPr>
        <w:t xml:space="preserve">亦会造成实质不公,与</w:t>
      </w:r>
      <w:r>
        <w:t xml:space="preserve"> </w:t>
      </w:r>
      <w:r>
        <w:rPr>
          <w:rFonts w:hint="eastAsia"/>
        </w:rPr>
        <w:t xml:space="preserve">“事前刚兑”</w:t>
      </w:r>
      <w:r>
        <w:rPr>
          <w:rFonts w:hint="eastAsia"/>
        </w:rPr>
        <w:t xml:space="preserve">无异；</w:t>
      </w:r>
      <w:r>
        <w:t xml:space="preserve"> </w:t>
      </w:r>
      <m:oMath>
        <m:sSup>
          <m:e>
            <m:r>
              <m:t>​</m:t>
            </m:r>
          </m:e>
          <m:sup>
            <m:r>
              <m:rPr>
                <m:nor/>
                <m:sty m:val="p"/>
              </m:rPr>
              <m:t> ⑤ </m:t>
            </m:r>
          </m:sup>
        </m:sSup>
      </m:oMath>
      <w:r>
        <w:t xml:space="preserve"> </w:t>
      </w:r>
      <w:r>
        <w:rPr>
          <w:rFonts w:hint="eastAsia"/>
        </w:rPr>
        <w:t xml:space="preserve">二是在投资后、产品到期前作出保底承诺,也损害了社会公共利益。⑥</w:t>
      </w:r>
      <w:r>
        <w:t xml:space="preserve"> </w:t>
      </w:r>
      <w:r>
        <w:rPr>
          <w:rFonts w:hint="eastAsia"/>
        </w:rPr>
        <w:t xml:space="preserve">综合分析后发现这类承诺均发生在投资后至产品到期前或是发生亏损前,此时作出保底承诺与事前承诺无本质区别,</w:t>
      </w:r>
      <w:r>
        <w:t xml:space="preserve"> </w:t>
      </w:r>
      <w:r>
        <w:rPr>
          <w:rFonts w:hint="eastAsia"/>
        </w:rPr>
        <w:t xml:space="preserve">均是转嫁投资风险,</w:t>
      </w:r>
      <w:r>
        <w:t xml:space="preserve"> </w:t>
      </w:r>
      <w:r>
        <w:rPr>
          <w:rFonts w:hint="eastAsia"/>
        </w:rPr>
        <w:t xml:space="preserve">应当认定无效。甚至此类相较于事前承诺恶劣程度更加严重,因为管理人存在规避承诺无效的故意。</w:t>
      </w:r>
    </w:p>
    <w:p>
      <w:pPr>
        <w:pStyle w:val="a0"/>
      </w:pPr>
      <w:r>
        <w:rPr>
          <w:rFonts w:hint="eastAsia"/>
        </w:rPr>
        <w:t xml:space="preserve">法院观点,</w:t>
      </w:r>
      <w:r>
        <w:t xml:space="preserve"> </w:t>
      </w:r>
      <w:r>
        <w:rPr>
          <w:rFonts w:hint="eastAsia"/>
        </w:rPr>
        <w:t xml:space="preserve">可以发现其实际上是根据管理人作出保底承诺的时间划分为私募基金募集前作出承诺、私募基金募集后至私募基金到期或产生亏损期间作出承诺以及私募基金到期后或发生亏损后作出承诺这三个阶段并予以裁判。</w:t>
      </w:r>
      <w:r>
        <w:t xml:space="preserve"> </w:t>
      </w:r>
      <w:r>
        <w:rPr>
          <w:rFonts w:hint="eastAsia"/>
        </w:rPr>
        <w:t xml:space="preserve">但笔者认为单纯以保底承诺作出时间为根据判断个案中条款的效力过于片面,</w:t>
      </w:r>
      <w:r>
        <w:t xml:space="preserve"> </w:t>
      </w:r>
      <w:r>
        <w:rPr>
          <w:rFonts w:hint="eastAsia"/>
        </w:rPr>
        <w:t xml:space="preserve">同时出于对投资者权益的维护和尊重意思自治的考虑,</w:t>
      </w:r>
      <w:r>
        <w:t xml:space="preserve"> </w:t>
      </w:r>
      <w:r>
        <w:rPr>
          <w:rFonts w:hint="eastAsia"/>
        </w:rPr>
        <w:t xml:space="preserve">对事后兑付行为的打击力度应小于资管业务,不必全盘否定</w:t>
      </w:r>
      <w:r>
        <w:rPr>
          <w:rFonts w:hint="eastAsia"/>
        </w:rPr>
        <w:t xml:space="preserve">“事后主动偿付型”</w:t>
      </w:r>
      <w:r>
        <w:rPr>
          <w:rFonts w:hint="eastAsia"/>
        </w:rPr>
        <w:t xml:space="preserve">保底条款的效力。</w:t>
      </w:r>
      <w:r>
        <w:t xml:space="preserve"> </w:t>
      </w:r>
      <w:r>
        <w:rPr>
          <w:rFonts w:hint="eastAsia"/>
        </w:rPr>
        <w:t xml:space="preserve">理由如下:</w:t>
      </w:r>
    </w:p>
    <w:p>
      <w:pPr>
        <w:pStyle w:val="a0"/>
      </w:pPr>
      <w:r>
        <w:rPr>
          <w:rFonts w:hint="eastAsia"/>
        </w:rPr>
        <w:t xml:space="preserve">首先,</w:t>
      </w:r>
      <w:r>
        <w:rPr>
          <w:rFonts w:hint="eastAsia"/>
        </w:rPr>
        <w:t xml:space="preserve">“事后主动偿付型”</w:t>
      </w:r>
      <w:r>
        <w:t xml:space="preserve"> </w:t>
      </w:r>
      <w:r>
        <w:rPr>
          <w:rFonts w:hint="eastAsia"/>
        </w:rPr>
        <w:t xml:space="preserve">保底条款实际可分为两类,</w:t>
      </w:r>
      <w:r>
        <w:t xml:space="preserve"> </w:t>
      </w:r>
      <w:r>
        <w:rPr>
          <w:rFonts w:hint="eastAsia"/>
        </w:rPr>
        <w:t xml:space="preserve">对于在私募投资基金到期后或出现亏损后管理人作出弥补损失承诺的,</w:t>
      </w:r>
      <w:r>
        <w:t xml:space="preserve"> </w:t>
      </w:r>
      <w:r>
        <w:rPr>
          <w:rFonts w:hint="eastAsia"/>
        </w:rPr>
        <w:t xml:space="preserve">本质上并非属于刚兑行为;</w:t>
      </w:r>
      <w:r>
        <w:t xml:space="preserve"> </w:t>
      </w:r>
      <w:r>
        <w:rPr>
          <w:rFonts w:hint="eastAsia"/>
        </w:rPr>
        <w:t xml:space="preserve">而对在投资后至出现损失前所作出的承诺,</w:t>
      </w:r>
      <w:r>
        <w:t xml:space="preserve"> </w:t>
      </w:r>
      <w:r>
        <w:rPr>
          <w:rFonts w:hint="eastAsia"/>
        </w:rPr>
        <w:t xml:space="preserve">可称其为变相刚兑行为。对于前者,</w:t>
      </w:r>
      <w:r>
        <w:t xml:space="preserve"> </w:t>
      </w:r>
      <w:r>
        <w:rPr>
          <w:rFonts w:hint="eastAsia"/>
        </w:rPr>
        <w:t xml:space="preserve">由于是双方当事人在私募基金合同到期后就相关款项的支付或补偿达成</w:t>
      </w:r>
      <w:r>
        <w:t xml:space="preserve"> </w:t>
      </w:r>
      <w:r>
        <w:rPr>
          <w:rFonts w:hint="eastAsia"/>
        </w:rPr>
        <w:t xml:space="preserve">“新的协议”</w:t>
      </w:r>
      <w:r>
        <w:t xml:space="preserve">, </w:t>
      </w:r>
      <w:r>
        <w:rPr>
          <w:rFonts w:hint="eastAsia"/>
        </w:rPr>
        <w:t xml:space="preserve">基于意思自治且内容未违反法律、行政法规的强制性规定,</w:t>
      </w:r>
      <w:r>
        <w:t xml:space="preserve"> </w:t>
      </w:r>
      <w:r>
        <w:rPr>
          <w:rFonts w:hint="eastAsia"/>
        </w:rPr>
        <w:t xml:space="preserve">法律应持肯定态度;</w:t>
      </w:r>
      <w:r>
        <w:t xml:space="preserve"> </w:t>
      </w:r>
      <w:r>
        <w:rPr>
          <w:rFonts w:hint="eastAsia"/>
        </w:rPr>
        <w:t xml:space="preserve">对于后者,</w:t>
      </w:r>
      <w:r>
        <w:t xml:space="preserve"> </w:t>
      </w:r>
      <w:r>
        <w:rPr>
          <w:rFonts w:hint="eastAsia"/>
        </w:rPr>
        <w:t xml:space="preserve">其本质上与事前承诺无异,仍违反信托关系本质,需对其严格限制。因此,</w:t>
      </w:r>
      <w:r>
        <w:t xml:space="preserve"> </w:t>
      </w:r>
      <w:r>
        <w:rPr>
          <w:rFonts w:hint="eastAsia"/>
        </w:rPr>
        <w:t xml:space="preserve">如果在私募基金领域,</w:t>
      </w:r>
      <w:r>
        <w:t xml:space="preserve"> </w:t>
      </w:r>
      <w:r>
        <w:rPr>
          <w:rFonts w:hint="eastAsia"/>
        </w:rPr>
        <w:t xml:space="preserve">按照资管行业的规定笼统地将</w:t>
      </w:r>
      <w:r>
        <w:rPr>
          <w:rFonts w:hint="eastAsia"/>
        </w:rPr>
        <w:t xml:space="preserve">“事后主动偿付型”</w:t>
      </w:r>
      <w:r>
        <w:t xml:space="preserve"> </w:t>
      </w:r>
      <w:r>
        <w:rPr>
          <w:rFonts w:hint="eastAsia"/>
        </w:rPr>
        <w:t xml:space="preserve">保底条款认定无效,</w:t>
      </w:r>
      <w:r>
        <w:t xml:space="preserve"> </w:t>
      </w:r>
      <w:r>
        <w:rPr>
          <w:rFonts w:hint="eastAsia"/>
        </w:rPr>
        <w:t xml:space="preserve">将有违立法初衷,</w:t>
      </w:r>
      <w:r>
        <w:t xml:space="preserve"> </w:t>
      </w:r>
      <w:r>
        <w:rPr>
          <w:rFonts w:hint="eastAsia"/>
        </w:rPr>
        <w:t xml:space="preserve">不利于私募基金行业发展。</w:t>
      </w:r>
    </w:p>
    <w:p>
      <w:pPr>
        <w:pStyle w:val="a0"/>
      </w:pPr>
      <w:r>
        <w:rPr>
          <w:rFonts w:hint="eastAsia"/>
        </w:rPr>
        <w:t xml:space="preserve">其次,</w:t>
      </w:r>
      <w:r>
        <w:t xml:space="preserve"> </w:t>
      </w:r>
      <w:r>
        <w:rPr>
          <w:rFonts w:hint="eastAsia"/>
        </w:rPr>
        <w:t xml:space="preserve">由于作为发行人或管理人的专门机构与投资者在信息获取、经济实力等方面具有天然的不对等性,</w:t>
      </w:r>
      <w:r>
        <w:t xml:space="preserve"> </w:t>
      </w:r>
      <w:r>
        <w:rPr>
          <w:rFonts w:hint="eastAsia"/>
        </w:rPr>
        <w:t xml:space="preserve">若管理人为获取不正当利益而有意进行误导,</w:t>
      </w:r>
      <w:r>
        <w:t xml:space="preserve"> </w:t>
      </w:r>
      <w:r>
        <w:rPr>
          <w:rFonts w:hint="eastAsia"/>
        </w:rPr>
        <w:t xml:space="preserve">将使得投资者错把高风险的私募基金产品当成具有固定收益率的理财产品从而盲目投资。对于该种情形下的保底条款应予以禁止。但</w:t>
      </w:r>
      <w:r>
        <w:rPr>
          <w:rFonts w:hint="eastAsia"/>
        </w:rPr>
        <w:t xml:space="preserve">“事后主动偿付型”</w:t>
      </w:r>
      <w:r>
        <w:rPr>
          <w:rFonts w:hint="eastAsia"/>
        </w:rPr>
        <w:t xml:space="preserve">的承诺并不是为了招揽投资者,</w:t>
      </w:r>
      <w:r>
        <w:t xml:space="preserve"> </w:t>
      </w:r>
      <w:r>
        <w:rPr>
          <w:rFonts w:hint="eastAsia"/>
        </w:rPr>
        <w:t xml:space="preserve">而是在亏损发生后出于对自身责任的认识,</w:t>
      </w:r>
      <w:r>
        <w:t xml:space="preserve"> </w:t>
      </w:r>
      <w:r>
        <w:rPr>
          <w:rFonts w:hint="eastAsia"/>
        </w:rPr>
        <w:t xml:space="preserve">对既定损失所进行的自愿补偿。</w:t>
      </w:r>
      <w:r>
        <w:t xml:space="preserve"> </w:t>
      </w:r>
      <w:r>
        <w:rPr>
          <w:rFonts w:hint="eastAsia"/>
        </w:rPr>
        <w:t xml:space="preserve">该行为有利于保护合格投资者,</w:t>
      </w:r>
      <w:r>
        <w:t xml:space="preserve"> </w:t>
      </w:r>
      <w:r>
        <w:rPr>
          <w:rFonts w:hint="eastAsia"/>
        </w:rPr>
        <w:t xml:space="preserve">减少纠纷。若过分强调</w:t>
      </w:r>
      <w:r>
        <w:rPr>
          <w:rFonts w:hint="eastAsia"/>
        </w:rPr>
        <w:t xml:space="preserve">“买者自负”</w:t>
      </w:r>
      <w:r>
        <w:rPr>
          <w:rFonts w:hint="eastAsia"/>
        </w:rPr>
        <w:t xml:space="preserve">,否定受托人作出保本保收益承诺的效力,</w:t>
      </w:r>
      <w:r>
        <w:t xml:space="preserve"> </w:t>
      </w:r>
      <w:r>
        <w:rPr>
          <w:rFonts w:hint="eastAsia"/>
        </w:rPr>
        <w:t xml:space="preserve">将会使投资者失去一层权利保护屏障。因而,该种行为不应认定为无效行为。</w:t>
      </w:r>
    </w:p>
    <w:p>
      <w:pPr>
        <w:pStyle w:val="a0"/>
      </w:pPr>
      <w:r>
        <w:rPr>
          <w:rStyle w:val="ac"/>
        </w:rPr>
        <w:footnoteReference w:id="37"/>
      </w:r>
    </w:p>
    <w:bookmarkEnd w:id="38"/>
    <w:bookmarkStart w:id="39" w:name="五结语"/>
    <w:p>
      <w:pPr>
        <w:pStyle w:val="1"/>
      </w:pPr>
      <w:r>
        <w:rPr>
          <w:rFonts w:hint="eastAsia"/>
        </w:rPr>
        <w:t xml:space="preserve">五、结语</w:t>
      </w:r>
    </w:p>
    <w:p>
      <w:pPr>
        <w:pStyle w:val="FirstParagraph"/>
      </w:pPr>
      <w:r>
        <w:rPr>
          <w:rFonts w:hint="eastAsia"/>
        </w:rPr>
        <w:t xml:space="preserve">保底条款与私募基金作为风险投资产品的天然属性相悖,《资管新规》对金融机构资管产品刚兑问题进行了统一规范,</w:t>
      </w:r>
      <w:r>
        <w:t xml:space="preserve"> </w:t>
      </w:r>
      <w:r>
        <w:rPr>
          <w:rFonts w:hint="eastAsia"/>
        </w:rPr>
        <w:t xml:space="preserve">从金融监管角度进行了充分考量,</w:t>
      </w:r>
      <w:r>
        <w:t xml:space="preserve"> </w:t>
      </w:r>
      <w:r>
        <w:rPr>
          <w:rFonts w:hint="eastAsia"/>
        </w:rPr>
        <w:t xml:space="preserve">但仍有效力层级太低,</w:t>
      </w:r>
      <w:r>
        <w:t xml:space="preserve"> </w:t>
      </w:r>
      <w:r>
        <w:rPr>
          <w:rFonts w:hint="eastAsia"/>
        </w:rPr>
        <w:t xml:space="preserve">难以成为监管机构实施监管的依据等不足。《私募投资基金监督管理条例》作为首部私募基金领域的行政法规,明确规定管理人不得向投资者作出保本保收益承诺,</w:t>
      </w:r>
      <w:r>
        <w:t xml:space="preserve"> </w:t>
      </w:r>
      <w:r>
        <w:rPr>
          <w:rFonts w:hint="eastAsia"/>
        </w:rPr>
        <w:t xml:space="preserve">从立法上看是巨大进步;</w:t>
      </w:r>
      <w:r>
        <w:t xml:space="preserve"> </w:t>
      </w:r>
      <w:r>
        <w:rPr>
          <w:rFonts w:hint="eastAsia"/>
        </w:rPr>
        <w:t xml:space="preserve">但具体到对私募基金保底条款的监管措施上,如何适用该规定仍有模糊之处。笔者通过辨析保底条款和刚兑条款的形式,</w:t>
      </w:r>
      <w:r>
        <w:t xml:space="preserve"> </w:t>
      </w:r>
      <w:r>
        <w:rPr>
          <w:rFonts w:hint="eastAsia"/>
        </w:rPr>
        <w:t xml:space="preserve">并针对刚兑条款的类型是否能在私募基金领域予以禁止进行分析,</w:t>
      </w:r>
      <w:r>
        <w:t xml:space="preserve"> </w:t>
      </w:r>
      <w:r>
        <w:rPr>
          <w:rFonts w:hint="eastAsia"/>
        </w:rPr>
        <w:t xml:space="preserve">总结得出保底协议实质上与《资管新规》中刚性兑付的第一种形式相同,</w:t>
      </w:r>
      <w:r>
        <w:t xml:space="preserve"> </w:t>
      </w:r>
      <w:r>
        <w:rPr>
          <w:rFonts w:hint="eastAsia"/>
        </w:rPr>
        <w:t xml:space="preserve">应当明令禁止,</w:t>
      </w:r>
      <w:r>
        <w:t xml:space="preserve"> </w:t>
      </w:r>
      <w:r>
        <w:rPr>
          <w:rFonts w:hint="eastAsia"/>
        </w:rPr>
        <w:t xml:space="preserve">且判断其存在的关键在于是否对投资人自负的投资风险进行再次分配。滚动发行行为虽未在《条例》</w:t>
      </w:r>
      <w:r>
        <w:t xml:space="preserve"> </w:t>
      </w:r>
      <w:r>
        <w:rPr>
          <w:rFonts w:hint="eastAsia"/>
        </w:rPr>
        <w:t xml:space="preserve">中明确规定,</w:t>
      </w:r>
      <w:r>
        <w:t xml:space="preserve"> </w:t>
      </w:r>
      <w:r>
        <w:rPr>
          <w:rFonts w:hint="eastAsia"/>
        </w:rPr>
        <w:t xml:space="preserve">但其违背了信托财产独立性以及受托人的忠实义务,违法性明显,也应对其持否定性态度;</w:t>
      </w:r>
      <w:r>
        <w:t xml:space="preserve"> </w:t>
      </w:r>
      <w:r>
        <w:rPr>
          <w:rFonts w:hint="eastAsia"/>
        </w:rPr>
        <w:t xml:space="preserve">对于事后管理人主动偿付行为,</w:t>
      </w:r>
      <w:r>
        <w:t xml:space="preserve"> </w:t>
      </w:r>
      <w:r>
        <w:rPr>
          <w:rFonts w:hint="eastAsia"/>
        </w:rPr>
        <w:t xml:space="preserve">其包括非实质意义上的刚兑行为和变相刚兑行为两种类型,</w:t>
      </w:r>
      <w:r>
        <w:t xml:space="preserve"> </w:t>
      </w:r>
      <w:r>
        <w:rPr>
          <w:rFonts w:hint="eastAsia"/>
        </w:rPr>
        <w:t xml:space="preserve">不能一刀切式认定凡是在基金到期或产生亏损后作出的承诺均无效,应在个案中立足于投资者保护、规范市场交易行为、维护金融市场稳定等维度,</w:t>
      </w:r>
      <w:r>
        <w:t xml:space="preserve"> </w:t>
      </w:r>
      <w:r>
        <w:rPr>
          <w:rFonts w:hint="eastAsia"/>
        </w:rPr>
        <w:t xml:space="preserve">对当事人承诺行为的时间、目的、方式、后果等多角度进行综合考虑。既要防止管理人故意逃避将其认定为典型刚兑条款,</w:t>
      </w:r>
      <w:r>
        <w:t xml:space="preserve"> </w:t>
      </w:r>
      <w:r>
        <w:rPr>
          <w:rFonts w:hint="eastAsia"/>
        </w:rPr>
        <w:t xml:space="preserve">也要鼓励管理人在出现过错时勇于承担赔偿责任,最终实现保护投资者的合法权益和社会金融秩序的稳定。</w:t>
      </w:r>
    </w:p>
    <w:bookmarkEnd w:id="39"/>
    <w:bookmarkStart w:id="40" w:name="参考文献"/>
    <w:p>
      <w:pPr>
        <w:pStyle w:val="1"/>
      </w:pPr>
      <w:r>
        <w:rPr>
          <w:rFonts w:hint="eastAsia"/>
        </w:rPr>
        <w:t xml:space="preserve">参考文献</w:t>
      </w:r>
    </w:p>
    <w:p>
      <w:pPr>
        <w:pStyle w:val="FirstParagraph"/>
      </w:pPr>
      <w:r>
        <w:rPr>
          <w:rFonts w:hint="eastAsia"/>
        </w:rPr>
        <w:t xml:space="preserve">[1]蒋艳林.</w:t>
      </w:r>
      <w:r>
        <w:t xml:space="preserve"> </w:t>
      </w:r>
      <w:r>
        <w:rPr>
          <w:rFonts w:hint="eastAsia"/>
        </w:rPr>
        <w:t xml:space="preserve">资金信托的</w:t>
      </w:r>
      <w:r>
        <w:rPr>
          <w:rFonts w:hint="eastAsia"/>
        </w:rPr>
        <w:t xml:space="preserve">“刚性兑付”</w:t>
      </w:r>
      <w:r>
        <w:rPr>
          <w:rFonts w:hint="eastAsia"/>
        </w:rPr>
        <w:t xml:space="preserve">困境及破解[J].</w:t>
      </w:r>
      <w:r>
        <w:t xml:space="preserve"> </w:t>
      </w:r>
      <w:r>
        <w:rPr>
          <w:rFonts w:hint="eastAsia"/>
        </w:rPr>
        <w:t xml:space="preserve">金融与经济,2020(12).</w:t>
      </w:r>
    </w:p>
    <w:p>
      <w:pPr>
        <w:pStyle w:val="a0"/>
      </w:pPr>
      <w:r>
        <w:rPr>
          <w:rFonts w:hint="eastAsia"/>
        </w:rPr>
        <w:t xml:space="preserve">[2]魏婷婷.金融信托</w:t>
      </w:r>
      <w:r>
        <w:rPr>
          <w:rFonts w:hint="eastAsia"/>
        </w:rPr>
        <w:t xml:space="preserve">“刚性兑付”</w:t>
      </w:r>
      <w:r>
        <w:rPr>
          <w:rFonts w:hint="eastAsia"/>
        </w:rPr>
        <w:t xml:space="preserve">风险的法律控制[J].</w:t>
      </w:r>
      <w:r>
        <w:t xml:space="preserve"> </w:t>
      </w:r>
      <w:r>
        <w:rPr>
          <w:rFonts w:hint="eastAsia"/>
        </w:rPr>
        <w:t xml:space="preserve">法学杂志,2018,39(02).</w:t>
      </w:r>
    </w:p>
    <w:p>
      <w:pPr>
        <w:pStyle w:val="a0"/>
      </w:pPr>
      <w:r>
        <w:rPr>
          <w:rFonts w:hint="eastAsia"/>
        </w:rPr>
        <w:t xml:space="preserve">[3]许多奇.</w:t>
      </w:r>
      <w:r>
        <w:t xml:space="preserve"> </w:t>
      </w:r>
      <w:r>
        <w:rPr>
          <w:rFonts w:hint="eastAsia"/>
        </w:rPr>
        <w:t xml:space="preserve">论全周期视野下私募基金管理人的信义义务[J].武汉大学学报(哲学社会科学版),2022,75(05).</w:t>
      </w:r>
    </w:p>
    <w:p>
      <w:pPr>
        <w:pStyle w:val="a0"/>
      </w:pPr>
      <w:r>
        <w:rPr>
          <w:rFonts w:hint="eastAsia"/>
        </w:rPr>
        <w:t xml:space="preserve">[4]夏小雄.</w:t>
      </w:r>
      <w:r>
        <w:t xml:space="preserve"> </w:t>
      </w:r>
      <w:r>
        <w:rPr>
          <w:rFonts w:hint="eastAsia"/>
        </w:rPr>
        <w:t xml:space="preserve">“得形”</w:t>
      </w:r>
      <w:r>
        <w:t xml:space="preserve">、</w:t>
      </w:r>
      <w:r>
        <w:rPr>
          <w:rFonts w:hint="eastAsia"/>
        </w:rPr>
        <w:t xml:space="preserve">“忘意”</w:t>
      </w:r>
      <w:r>
        <w:rPr>
          <w:rFonts w:hint="eastAsia"/>
        </w:rPr>
        <w:t xml:space="preserve">与</w:t>
      </w:r>
      <w:r>
        <w:t xml:space="preserve"> </w:t>
      </w:r>
      <w:r>
        <w:rPr>
          <w:rFonts w:hint="eastAsia"/>
        </w:rPr>
        <w:t xml:space="preserve">“返本”</w:t>
      </w:r>
      <w:r>
        <w:rPr>
          <w:rFonts w:hint="eastAsia"/>
        </w:rPr>
        <w:t xml:space="preserve">:中国信托法的理念调整和制度转型[J].</w:t>
      </w:r>
      <w:r>
        <w:t xml:space="preserve"> </w:t>
      </w:r>
      <w:r>
        <w:rPr>
          <w:rFonts w:hint="eastAsia"/>
        </w:rPr>
        <w:t xml:space="preserve">河北法学,</w:t>
      </w:r>
      <w:r>
        <w:t xml:space="preserve"> 2016,34(06).</w:t>
      </w:r>
    </w:p>
    <w:p>
      <w:pPr>
        <w:pStyle w:val="a0"/>
      </w:pPr>
      <w:r>
        <w:rPr>
          <w:rFonts w:hint="eastAsia"/>
        </w:rPr>
        <w:t xml:space="preserve">[5]王蓉,贾佳.资产管理业务刚性兑付的本质及破解对策[J].</w:t>
      </w:r>
      <w:r>
        <w:t xml:space="preserve"> </w:t>
      </w:r>
      <w:r>
        <w:rPr>
          <w:rFonts w:hint="eastAsia"/>
        </w:rPr>
        <w:t xml:space="preserve">南方金融,</w:t>
      </w:r>
      <w:r>
        <w:t xml:space="preserve"> 2018(05).</w:t>
      </w:r>
    </w:p>
    <w:p>
      <w:pPr>
        <w:pStyle w:val="a0"/>
      </w:pPr>
      <w:r>
        <w:rPr>
          <w:rFonts w:hint="eastAsia"/>
        </w:rPr>
        <w:t xml:space="preserve">[6]王轶.论民法诸项基本原则及其关系[J].</w:t>
      </w:r>
      <w:r>
        <w:t xml:space="preserve"> </w:t>
      </w:r>
      <w:r>
        <w:rPr>
          <w:rFonts w:hint="eastAsia"/>
        </w:rPr>
        <w:t xml:space="preserve">杭州师范大学学报(社会科学版),2013,35(03).</w:t>
      </w:r>
    </w:p>
    <w:p>
      <w:pPr>
        <w:pStyle w:val="a0"/>
      </w:pPr>
      <w:r>
        <w:rPr>
          <w:rFonts w:hint="eastAsia"/>
        </w:rPr>
        <w:t xml:space="preserve">[7]朱飞.金融消费者保护法律路径再探[J].</w:t>
      </w:r>
      <w:r>
        <w:t xml:space="preserve"> </w:t>
      </w:r>
      <w:r>
        <w:rPr>
          <w:rFonts w:hint="eastAsia"/>
        </w:rPr>
        <w:t xml:space="preserve">西南金融,</w:t>
      </w:r>
      <w:r>
        <w:t xml:space="preserve"> 2018(11).</w:t>
      </w:r>
    </w:p>
    <w:p>
      <w:pPr>
        <w:pStyle w:val="a0"/>
      </w:pPr>
      <w:r>
        <w:rPr>
          <w:rFonts w:hint="eastAsia"/>
        </w:rPr>
        <w:t xml:space="preserve">[8]郭雳.中国式影子银行的风险溯源与监管创新[J].</w:t>
      </w:r>
      <w:r>
        <w:t xml:space="preserve"> </w:t>
      </w:r>
      <w:r>
        <w:rPr>
          <w:rFonts w:hint="eastAsia"/>
        </w:rPr>
        <w:t xml:space="preserve">中国法学,2018(03).</w:t>
      </w:r>
    </w:p>
    <w:p>
      <w:pPr>
        <w:pStyle w:val="a0"/>
      </w:pPr>
      <w:r>
        <w:rPr>
          <w:rFonts w:hint="eastAsia"/>
        </w:rPr>
        <w:t xml:space="preserve">[9]杜晶.</w:t>
      </w:r>
      <w:r>
        <w:t xml:space="preserve"> </w:t>
      </w:r>
      <w:r>
        <w:rPr>
          <w:rFonts w:hint="eastAsia"/>
        </w:rPr>
        <w:t xml:space="preserve">论资管产品刚性兑付和增信措施在概念上的区分[J].上海金融,</w:t>
      </w:r>
      <w:r>
        <w:t xml:space="preserve"> 2019(12).</w:t>
      </w:r>
    </w:p>
    <w:p>
      <w:pPr>
        <w:pStyle w:val="a0"/>
      </w:pPr>
      <w:r>
        <w:rPr>
          <w:rFonts w:hint="eastAsia"/>
        </w:rPr>
        <w:t xml:space="preserve">[10]吴至诚.</w:t>
      </w:r>
      <w:r>
        <w:t xml:space="preserve"> </w:t>
      </w:r>
      <w:r>
        <w:rPr>
          <w:rFonts w:hint="eastAsia"/>
        </w:rPr>
        <w:t xml:space="preserve">保底信托效力认定的类型化[J].</w:t>
      </w:r>
      <w:r>
        <w:t xml:space="preserve"> </w:t>
      </w:r>
      <w:r>
        <w:rPr>
          <w:rFonts w:hint="eastAsia"/>
        </w:rPr>
        <w:t xml:space="preserve">法学研究,2022,44(06).</w:t>
      </w:r>
    </w:p>
    <w:p>
      <w:pPr>
        <w:pStyle w:val="a0"/>
      </w:pPr>
      <w:r>
        <w:rPr>
          <w:rFonts w:hint="eastAsia"/>
        </w:rPr>
        <w:t xml:space="preserve">[11]楼建波.信托财产分别管理与信托财产独立性的关系——兼论《信托法》第</w:t>
      </w:r>
      <w:r>
        <w:t xml:space="preserve"> 29 </w:t>
      </w:r>
      <w:r>
        <w:rPr>
          <w:rFonts w:hint="eastAsia"/>
        </w:rPr>
        <w:t xml:space="preserve">条的理解和适用[J].广东社会科学,2016(04).</w:t>
      </w:r>
    </w:p>
    <w:p>
      <w:pPr>
        <w:pStyle w:val="a0"/>
      </w:pPr>
      <w:r>
        <w:rPr>
          <w:rFonts w:hint="eastAsia"/>
        </w:rPr>
        <w:t xml:space="preserve">[12]杨秋宇.</w:t>
      </w:r>
      <w:r>
        <w:t xml:space="preserve"> </w:t>
      </w:r>
      <w:r>
        <w:rPr>
          <w:rFonts w:hint="eastAsia"/>
        </w:rPr>
        <w:t xml:space="preserve">信托受托人忠实义务的功能诠释与规范重塑[J].法学研究,2023,45(03).</w:t>
      </w:r>
    </w:p>
    <w:p>
      <w:pPr>
        <w:pStyle w:val="a0"/>
      </w:pPr>
      <w:r>
        <w:rPr>
          <w:rFonts w:hint="eastAsia"/>
        </w:rPr>
        <w:t xml:space="preserve">[13]李立新.</w:t>
      </w:r>
      <w:r>
        <w:t xml:space="preserve"> </w:t>
      </w:r>
      <w:r>
        <w:rPr>
          <w:rFonts w:hint="eastAsia"/>
        </w:rPr>
        <w:t xml:space="preserve">债券违约刚性兑付的形成机理与破解法门[J].河北法学,2017,35(11).</w:t>
      </w:r>
    </w:p>
    <w:p>
      <w:pPr>
        <w:pStyle w:val="a0"/>
      </w:pPr>
      <w:r>
        <w:rPr>
          <w:rFonts w:hint="eastAsia"/>
        </w:rPr>
        <w:t xml:space="preserve">[14]蔡晓倩.</w:t>
      </w:r>
      <w:r>
        <w:t xml:space="preserve"> </w:t>
      </w:r>
      <w:r>
        <w:rPr>
          <w:rFonts w:hint="eastAsia"/>
        </w:rPr>
        <w:t xml:space="preserve">适当性义务司法适用评析——以金融消费权益保护为视角[J].</w:t>
      </w:r>
      <w:r>
        <w:t xml:space="preserve"> </w:t>
      </w:r>
      <w:r>
        <w:rPr>
          <w:rFonts w:hint="eastAsia"/>
        </w:rPr>
        <w:t xml:space="preserve">南方金融,</w:t>
      </w:r>
      <w:r>
        <w:t xml:space="preserve"> 2021(04).</w:t>
      </w:r>
    </w:p>
    <w:p>
      <w:pPr>
        <w:pStyle w:val="a0"/>
      </w:pPr>
      <w:r>
        <w:rPr>
          <w:rFonts w:hint="eastAsia"/>
        </w:rPr>
        <w:t xml:space="preserve">[15]黄伟峰,程俊杰.</w:t>
      </w:r>
      <w:r>
        <w:t xml:space="preserve"> </w:t>
      </w:r>
      <w:r>
        <w:rPr>
          <w:rFonts w:hint="eastAsia"/>
        </w:rPr>
        <w:t xml:space="preserve">私募基金涉诉纠纷疑难问题研究[J].法律适用,2023(04).</w:t>
      </w:r>
    </w:p>
    <w:bookmarkEnd w:id="40"/>
    <w:sectPr w:rsidR="00C8062D">
      <w:pgSz w:h="15840" w:w="12240"/>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a9"/>
      </w:pPr>
      <w:r>
        <w:rPr>
          <w:rStyle w:val="ac"/>
        </w:rPr>
        <w:footnoteRef/>
      </w:r>
      <w:r>
        <w:t xml:space="preserve"> </w:t>
      </w:r>
      <w:r>
        <w:t xml:space="preserve">① </w:t>
      </w:r>
      <w:r>
        <w:rPr>
          <w:rFonts w:hint="eastAsia"/>
        </w:rPr>
        <w:t xml:space="preserve">曾雯雯,女,最高学历:华东政法大学经济法学院硕士研究生。专业方向:经济法。</w:t>
      </w:r>
    </w:p>
  </w:footnote>
  <w:footnote w:id="27">
    <w:p>
      <w:pPr>
        <w:pStyle w:val="a9"/>
      </w:pPr>
      <w:r>
        <w:rPr>
          <w:rStyle w:val="ac"/>
        </w:rPr>
        <w:footnoteRef/>
      </w:r>
      <w:r>
        <w:t xml:space="preserve"> </w:t>
      </w:r>
      <w:r>
        <w:rPr>
          <w:rFonts w:hint="eastAsia"/>
        </w:rPr>
        <w:t xml:space="preserve">①下文所提及的私募基金均指的是《私募投资基金监督管理条例》中规制的私募投资基金,即由在中国基金业协会登记的非金融机构作为私募投资基金管理人发行的私募投资基金产品。</w:t>
      </w:r>
    </w:p>
    <w:p>
      <w:pPr>
        <w:pStyle w:val="a9"/>
      </w:pPr>
      <w:r>
        <w:rPr>
          <w:rFonts w:hint="eastAsia"/>
        </w:rPr>
        <w:t xml:space="preserve">②根据《私募投资基金监督管理条例》(2023</w:t>
      </w:r>
      <w:r>
        <w:t xml:space="preserve"> </w:t>
      </w:r>
      <w:r>
        <w:rPr>
          <w:rFonts w:hint="eastAsia"/>
        </w:rPr>
        <w:t xml:space="preserve">年)第</w:t>
      </w:r>
      <w:r>
        <w:t xml:space="preserve"> 4 </w:t>
      </w:r>
      <w:r>
        <w:rPr>
          <w:rFonts w:hint="eastAsia"/>
        </w:rPr>
        <w:t xml:space="preserve">条第(1)款规定:私募基金财产独立于私募基金管理人、私募基金托管人的固有财产。私募基金财产的债务由私募基金财产本身承担,但法律另有规定的除外。可以得出私募投资基金实际上在管理人和投资者之间成立了信托法律关系。</w:t>
      </w:r>
    </w:p>
  </w:footnote>
  <w:footnote w:id="31">
    <w:p>
      <w:pPr>
        <w:pStyle w:val="a9"/>
      </w:pPr>
      <w:r>
        <w:rPr>
          <w:rStyle w:val="ac"/>
        </w:rPr>
        <w:footnoteRef/>
      </w:r>
      <w:r>
        <w:t xml:space="preserve"> </w:t>
      </w:r>
      <w:r>
        <w:t xml:space="preserve">①</w:t>
      </w:r>
      <w:r>
        <w:t xml:space="preserve"> </w:t>
      </w:r>
      <w:r>
        <w:rPr>
          <w:rFonts w:hint="eastAsia"/>
        </w:rPr>
        <w:t xml:space="preserve">“借新还旧”</w:t>
      </w:r>
      <w:r>
        <w:rPr>
          <w:rFonts w:hint="eastAsia"/>
        </w:rPr>
        <w:t xml:space="preserve">模式是指在前期已募集的资金到期时,提前或同时募集新的资金以兑付已到期的资金。</w:t>
      </w:r>
    </w:p>
  </w:footnote>
  <w:footnote w:id="35">
    <w:p>
      <w:pPr>
        <w:pStyle w:val="a9"/>
      </w:pPr>
      <w:r>
        <w:rPr>
          <w:rStyle w:val="ac"/>
        </w:rPr>
        <w:footnoteRef/>
      </w:r>
      <w:r>
        <w:t xml:space="preserve"> </w:t>
      </w:r>
      <w:r>
        <w:t xml:space="preserve">① </w:t>
      </w:r>
      <w:r>
        <w:rPr>
          <w:rFonts w:hint="eastAsia"/>
        </w:rPr>
        <w:t xml:space="preserve">参见《私募投资基金监督管理暂行办法》(2014</w:t>
      </w:r>
      <w:r>
        <w:t xml:space="preserve"> </w:t>
      </w:r>
      <w:r>
        <w:rPr>
          <w:rFonts w:hint="eastAsia"/>
        </w:rPr>
        <w:t xml:space="preserve">年)</w:t>
      </w:r>
      <w:r>
        <w:t xml:space="preserve"> </w:t>
      </w:r>
      <w:r>
        <w:rPr>
          <w:rFonts w:hint="eastAsia"/>
        </w:rPr>
        <w:t xml:space="preserve">第</w:t>
      </w:r>
      <w:r>
        <w:t xml:space="preserve"> 5 </w:t>
      </w:r>
      <w:r>
        <w:rPr>
          <w:rFonts w:hint="eastAsia"/>
        </w:rPr>
        <w:t xml:space="preserve">条第(2)款:设立私募基金管理机构和发行私募基金不设行政审批,允许各类发行主体在依法合规的基础上,向累计不超过法律规定数量的投资者发行私募基金。</w:t>
      </w:r>
    </w:p>
    <w:p>
      <w:pPr>
        <w:pStyle w:val="a9"/>
      </w:pPr>
      <w:r>
        <w:t xml:space="preserve">② </w:t>
      </w:r>
      <w:r>
        <w:rPr>
          <w:rFonts w:hint="eastAsia"/>
        </w:rPr>
        <w:t xml:space="preserve">参见(2021)沪</w:t>
      </w:r>
      <w:r>
        <w:t xml:space="preserve"> 0115 </w:t>
      </w:r>
      <w:r>
        <w:rPr>
          <w:rFonts w:hint="eastAsia"/>
        </w:rPr>
        <w:t xml:space="preserve">民初</w:t>
      </w:r>
      <w:r>
        <w:t xml:space="preserve"> 24875 </w:t>
      </w:r>
      <w:r>
        <w:rPr>
          <w:rFonts w:hint="eastAsia"/>
        </w:rPr>
        <w:t xml:space="preserve">号民事判决书。</w:t>
      </w:r>
    </w:p>
  </w:footnote>
  <w:footnote w:id="37">
    <w:p>
      <w:pPr>
        <w:pStyle w:val="a9"/>
      </w:pPr>
      <w:r>
        <w:rPr>
          <w:rStyle w:val="ac"/>
        </w:rPr>
        <w:footnoteRef/>
      </w:r>
      <w:r>
        <w:t xml:space="preserve"> </w:t>
      </w:r>
      <w:r>
        <w:t xml:space="preserve">① </w:t>
      </w:r>
      <w:r>
        <w:rPr>
          <w:rFonts w:hint="eastAsia"/>
        </w:rPr>
        <w:t xml:space="preserve">参见《关于规范金融机构资产管理业务的指导意见》(2018</w:t>
      </w:r>
      <w:r>
        <w:t xml:space="preserve"> </w:t>
      </w:r>
      <w:r>
        <w:rPr>
          <w:rFonts w:hint="eastAsia"/>
        </w:rPr>
        <w:t xml:space="preserve">年)</w:t>
      </w:r>
      <w:r>
        <w:t xml:space="preserve"> </w:t>
      </w:r>
      <w:r>
        <w:rPr>
          <w:rFonts w:hint="eastAsia"/>
        </w:rPr>
        <w:t xml:space="preserve">第</w:t>
      </w:r>
      <w:r>
        <w:t xml:space="preserve"> 2 </w:t>
      </w:r>
      <w:r>
        <w:rPr>
          <w:rFonts w:hint="eastAsia"/>
        </w:rPr>
        <w:t xml:space="preserve">条第(3)</w:t>
      </w:r>
      <w:r>
        <w:t xml:space="preserve"> </w:t>
      </w:r>
      <w:r>
        <w:rPr>
          <w:rFonts w:hint="eastAsia"/>
        </w:rPr>
        <w:t xml:space="preserve">款规定:私募投资基金适用私募投资基金专门法律、行政法规,私募投资基金专门法律、行政法规中没有明确规定的适用本意见,创业投资基金、政府出资产业投资基金的相关规定另行制定。</w:t>
      </w:r>
    </w:p>
    <w:p>
      <w:pPr>
        <w:pStyle w:val="a9"/>
      </w:pPr>
      <w:r>
        <w:t xml:space="preserve">② </w:t>
      </w:r>
      <w:r>
        <w:rPr>
          <w:rFonts w:hint="eastAsia"/>
        </w:rPr>
        <w:t xml:space="preserve">参见(2022)京</w:t>
      </w:r>
      <w:r>
        <w:t xml:space="preserve"> 74 </w:t>
      </w:r>
      <w:r>
        <w:rPr>
          <w:rFonts w:hint="eastAsia"/>
        </w:rPr>
        <w:t xml:space="preserve">民终</w:t>
      </w:r>
      <w:r>
        <w:t xml:space="preserve"> 889 </w:t>
      </w:r>
      <w:r>
        <w:rPr>
          <w:rFonts w:hint="eastAsia"/>
        </w:rPr>
        <w:t xml:space="preserve">号民事判决书。</w:t>
      </w:r>
    </w:p>
    <w:p>
      <w:pPr>
        <w:pStyle w:val="a9"/>
      </w:pPr>
      <w:r>
        <w:t xml:space="preserve">③ </w:t>
      </w:r>
      <w:r>
        <w:rPr>
          <w:rFonts w:hint="eastAsia"/>
        </w:rPr>
        <w:t xml:space="preserve">参见(2021)鲁</w:t>
      </w:r>
      <w:r>
        <w:t xml:space="preserve"> 01 </w:t>
      </w:r>
      <w:r>
        <w:rPr>
          <w:rFonts w:hint="eastAsia"/>
        </w:rPr>
        <w:t xml:space="preserve">民终</w:t>
      </w:r>
      <w:r>
        <w:t xml:space="preserve"> 11698 </w:t>
      </w:r>
      <w:r>
        <w:rPr>
          <w:rFonts w:hint="eastAsia"/>
        </w:rPr>
        <w:t xml:space="preserve">号民事判决书。</w:t>
      </w:r>
    </w:p>
    <w:p>
      <w:pPr>
        <w:pStyle w:val="a9"/>
      </w:pPr>
      <w:r>
        <w:t xml:space="preserve">④ </w:t>
      </w:r>
      <w:r>
        <w:rPr>
          <w:rFonts w:hint="eastAsia"/>
        </w:rPr>
        <w:t xml:space="preserve">参见(2021)沪</w:t>
      </w:r>
      <w:r>
        <w:t xml:space="preserve"> 74 </w:t>
      </w:r>
      <w:r>
        <w:rPr>
          <w:rFonts w:hint="eastAsia"/>
        </w:rPr>
        <w:t xml:space="preserve">民终</w:t>
      </w:r>
      <w:r>
        <w:t xml:space="preserve"> 545 </w:t>
      </w:r>
      <w:r>
        <w:rPr>
          <w:rFonts w:hint="eastAsia"/>
        </w:rPr>
        <w:t xml:space="preserve">号民事判决书。</w:t>
      </w:r>
    </w:p>
    <w:p>
      <w:pPr>
        <w:pStyle w:val="a9"/>
      </w:pPr>
      <w:r>
        <w:t xml:space="preserve">⑤ </w:t>
      </w:r>
      <w:r>
        <w:rPr>
          <w:rFonts w:hint="eastAsia"/>
        </w:rPr>
        <w:t xml:space="preserve">参见(2019)粤</w:t>
      </w:r>
      <w:r>
        <w:t xml:space="preserve"> 01 </w:t>
      </w:r>
      <w:r>
        <w:rPr>
          <w:rFonts w:hint="eastAsia"/>
        </w:rPr>
        <w:t xml:space="preserve">民终</w:t>
      </w:r>
      <w:r>
        <w:t xml:space="preserve"> 23878 </w:t>
      </w:r>
      <w:r>
        <w:rPr>
          <w:rFonts w:hint="eastAsia"/>
        </w:rPr>
        <w:t xml:space="preserve">号民事判决书。</w:t>
      </w:r>
    </w:p>
    <w:p>
      <w:pPr>
        <w:pStyle w:val="a9"/>
      </w:pPr>
      <w:r>
        <w:t xml:space="preserve">⑥ </w:t>
      </w:r>
      <w:r>
        <w:rPr>
          <w:rFonts w:hint="eastAsia"/>
        </w:rPr>
        <w:t xml:space="preserve">参见(2019)鲁</w:t>
      </w:r>
      <w:r>
        <w:t xml:space="preserve"> 02 </w:t>
      </w:r>
      <w:r>
        <w:rPr>
          <w:rFonts w:hint="eastAsia"/>
        </w:rPr>
        <w:t xml:space="preserve">民初</w:t>
      </w:r>
      <w:r>
        <w:t xml:space="preserve"> 1283 </w:t>
      </w:r>
      <w:r>
        <w:rPr>
          <w:rFonts w:hint="eastAsia"/>
        </w:rPr>
        <w:t xml:space="preserve">号民事判决书。</w:t>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170CD2DE"/>
    <w:multiLevelType w:val="multilevel"/>
    <w:tmpl w:val="7524544C"/>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939995257"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8062D"/>
    <w:rsid w:val="006B1FB1"/>
    <w:rsid w:val="009D1868"/>
    <w:rsid w:val="00C57AB6"/>
    <w:rsid w:val="00C8062D"/>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2" w:type="paragraph">
    <w:name w:val="heading 2"/>
    <w:basedOn w:val="a"/>
    <w:next w:val="a0"/>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3" w:type="paragraph">
    <w:name w:val="heading 3"/>
    <w:basedOn w:val="a"/>
    <w:next w:val="a0"/>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4" w:type="paragraph">
    <w:name w:val="heading 4"/>
    <w:basedOn w:val="a"/>
    <w:next w:val="a0"/>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5" w:type="paragraph">
    <w:name w:val="heading 5"/>
    <w:basedOn w:val="a"/>
    <w:next w:val="a0"/>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6" w:type="paragraph">
    <w:name w:val="heading 6"/>
    <w:basedOn w:val="a"/>
    <w:next w:val="a0"/>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7" w:type="paragraph">
    <w:name w:val="heading 7"/>
    <w:basedOn w:val="a"/>
    <w:next w:val="a0"/>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8" w:type="paragraph">
    <w:name w:val="heading 8"/>
    <w:basedOn w:val="a"/>
    <w:next w:val="a0"/>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9" w:type="paragraph">
    <w:name w:val="heading 9"/>
    <w:basedOn w:val="a"/>
    <w:next w:val="a0"/>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a5" w:type="paragraph">
    <w:name w:val="Subtitle"/>
    <w:basedOn w:val="a4"/>
    <w:next w:val="a0"/>
    <w:qFormat/>
    <w:pPr>
      <w:spacing w:before="240"/>
    </w:pPr>
    <w:rPr>
      <w:sz w:val="30"/>
      <w:szCs w:val="30"/>
    </w:rPr>
  </w:style>
  <w:style w:customStyle="1" w:styleId="Author" w:type="paragraph">
    <w:name w:val="Author"/>
    <w:next w:val="a0"/>
    <w:qFormat/>
    <w:pPr>
      <w:keepNext/>
      <w:keepLines/>
      <w:jc w:val="center"/>
    </w:pPr>
  </w:style>
  <w:style w:styleId="a6" w:type="paragraph">
    <w:name w:val="Date"/>
    <w:next w:val="a0"/>
    <w:qFormat/>
    <w:pPr>
      <w:keepNext/>
      <w:keepLines/>
      <w:jc w:val="center"/>
    </w:pPr>
  </w:style>
  <w:style w:customStyle="1" w:styleId="Abstract" w:type="paragraph">
    <w:name w:val="Abstract"/>
    <w:basedOn w:val="a"/>
    <w:next w:val="a0"/>
    <w:qFormat/>
    <w:pPr>
      <w:keepNext/>
      <w:keepLines/>
      <w:spacing w:after="300" w:before="300"/>
    </w:pPr>
    <w:rPr>
      <w:sz w:val="20"/>
      <w:szCs w:val="20"/>
    </w:rPr>
  </w:style>
  <w:style w:styleId="a7" w:type="paragraph">
    <w:name w:val="Bibliography"/>
    <w:basedOn w:val="a"/>
    <w:qFormat/>
  </w:style>
  <w:style w:styleId="a8" w:type="paragraph">
    <w:name w:val="Block Text"/>
    <w:basedOn w:val="a0"/>
    <w:next w:val="a0"/>
    <w:uiPriority w:val="9"/>
    <w:unhideWhenUsed/>
    <w:qFormat/>
    <w:pPr>
      <w:spacing w:after="100" w:before="100"/>
      <w:ind w:left="480" w:right="480"/>
    </w:pPr>
  </w:style>
  <w:style w:styleId="a9" w:type="paragraph">
    <w:name w:val="footnote text"/>
    <w:basedOn w:val="a"/>
    <w:uiPriority w:val="9"/>
    <w:unhideWhenUsed/>
    <w:qFormat/>
  </w:style>
  <w:style w:customStyle="1" w:styleId="Table" w:type="table">
    <w:name w:val="Table"/>
    <w:semiHidden/>
    <w:unhideWhenUsed/>
    <w:qFormat/>
    <w:rsid w:val="00C57AB6"/>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a" w:type="paragraph">
    <w:name w:val="caption"/>
    <w:basedOn w:val="a"/>
    <w:link w:val="ab"/>
    <w:pPr>
      <w:spacing w:after="120"/>
    </w:pPr>
    <w:rPr>
      <w:i/>
    </w:rPr>
  </w:style>
  <w:style w:customStyle="1" w:styleId="TableCaption" w:type="paragraph">
    <w:name w:val="Table Caption"/>
    <w:basedOn w:val="aa"/>
    <w:pPr>
      <w:keepNext/>
    </w:pPr>
  </w:style>
  <w:style w:customStyle="1" w:styleId="ImageCaption" w:type="paragraph">
    <w:name w:val="Image Caption"/>
    <w:basedOn w:val="aa"/>
  </w:style>
  <w:style w:customStyle="1" w:styleId="Figure" w:type="paragraph">
    <w:name w:val="Figure"/>
    <w:basedOn w:val="a"/>
  </w:style>
  <w:style w:customStyle="1" w:styleId="CaptionedFigure" w:type="paragraph">
    <w:name w:val="Captioned Figure"/>
    <w:basedOn w:val="Figure"/>
    <w:pPr>
      <w:keepNext/>
    </w:pPr>
  </w:style>
  <w:style w:customStyle="1" w:styleId="ab" w:type="character">
    <w:name w:val="题注 字符"/>
    <w:basedOn w:val="a1"/>
    <w:link w:val="aa"/>
  </w:style>
  <w:style w:customStyle="1" w:styleId="VerbatimChar" w:type="character">
    <w:name w:val="Verbatim Char"/>
    <w:basedOn w:val="ab"/>
    <w:rPr>
      <w:rFonts w:ascii="Consolas" w:hAnsi="Consolas"/>
      <w:sz w:val="22"/>
    </w:rPr>
  </w:style>
  <w:style w:customStyle="1" w:styleId="SectionNumber" w:type="character">
    <w:name w:val="Section Number"/>
    <w:basedOn w:val="ab"/>
  </w:style>
  <w:style w:styleId="ac" w:type="character">
    <w:name w:val="footnote reference"/>
    <w:basedOn w:val="ab"/>
    <w:rPr>
      <w:vertAlign w:val="superscript"/>
    </w:rPr>
  </w:style>
  <w:style w:styleId="ad" w:type="character">
    <w:name w:val="Hyperlink"/>
    <w:basedOn w:val="ab"/>
    <w:rPr>
      <w:color w:themeColor="accent1" w:val="4F81BD"/>
    </w:rPr>
  </w:style>
  <w:style w:styleId="TOC" w:type="paragraph">
    <w:name w:val="TOC Heading"/>
    <w:basedOn w:val="1"/>
    <w:next w:val="a0"/>
    <w:uiPriority w:val="39"/>
    <w:unhideWhenUsed/>
    <w:qFormat/>
    <w:pPr>
      <w:spacing w:before="240" w:line="259" w:lineRule="auto"/>
      <w:outlineLvl w:val="9"/>
    </w:pPr>
    <w:rPr>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63</Words>
  <Characters>362</Characters>
  <Application>Microsoft Office Word</Application>
  <DocSecurity>0</DocSecurity>
  <Lines>3</Lines>
  <Paragraphs>1</Paragraphs>
  <ScaleCrop>false</ScaleCrop>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2025-05-26T03:00:07Z</dcterms:created>
  <dcterms:modified xsi:type="dcterms:W3CDTF">2025-05-26T03:00:07Z</dcterms:modified>
</cp:coreProperties>
</file>

<file path=docProps/custom.xml><?xml version="1.0" encoding="utf-8"?>
<Properties xmlns="http://schemas.openxmlformats.org/officeDocument/2006/custom-properties" xmlns:vt="http://schemas.openxmlformats.org/officeDocument/2006/docPropsVTypes"/>
</file>