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A6E" w:sz="1"/>
              <w:left w:val="none"/>
              <w:bottom w:val="single" w:color="007A6E" w:sz="1"/>
              <w:right w:val="none"/>
            </w:tcBorders>
            <w:shd w:fill="0D1B3E" w:val="clear"/>
            <w:tcMar>
              <w:top w:type="dxa" w:w="360"/>
              <w:left w:type="dxa" w:w="360"/>
              <w:bottom w:type="dxa" w:w="360"/>
              <w:right w:type="dxa" w:w="360"/>
            </w:tcMar>
          </w:tcPr>
          <w:p>
            <w:pPr>
              <w:jc w:val="center"/>
            </w:pPr>
            <w:r>
              <w:rPr>
                <w:rFonts w:ascii="Arial" w:cs="Arial" w:eastAsia="Arial" w:hAnsi="Arial"/>
                <w:b/>
                <w:bCs/>
                <w:color w:val="00A693"/>
                <w:sz w:val="80"/>
                <w:szCs w:val="80"/>
              </w:rPr>
              <w:t xml:space="preserve">FINFLOW</w:t>
            </w:r>
          </w:p>
          <w:p>
            <w:pPr>
              <w:spacing w:after="100" w:before="120"/>
              <w:jc w:val="center"/>
            </w:pPr>
            <w:r>
              <w:rPr>
                <w:rFonts w:ascii="Arial" w:cs="Arial" w:eastAsia="Arial" w:hAnsi="Arial"/>
                <w:color w:val="AABBCC"/>
                <w:sz w:val="28"/>
                <w:szCs w:val="28"/>
              </w:rPr>
              <w:t xml:space="preserve">Personal Finance Management App</w:t>
            </w:r>
          </w:p>
          <w:p>
            <w:pPr>
              <w:jc w:val="center"/>
            </w:pPr>
            <w:r>
              <w:rPr>
                <w:rFonts w:ascii="Arial" w:cs="Arial" w:eastAsia="Arial" w:hAnsi="Arial"/>
                <w:color w:val="007A6E"/>
                <w:sz w:val="18"/>
                <w:szCs w:val="18"/>
              </w:rPr>
              <w:t xml:space="preserve">─────────────────────────────────────</w:t>
            </w:r>
          </w:p>
          <w:p>
            <w:pPr>
              <w:spacing w:after="80" w:before="100"/>
              <w:jc w:val="center"/>
            </w:pPr>
            <w:r>
              <w:rPr>
                <w:rFonts w:ascii="Arial" w:cs="Arial" w:eastAsia="Arial" w:hAnsi="Arial"/>
                <w:b/>
                <w:bCs/>
                <w:color w:val="FFFFFF"/>
                <w:sz w:val="36"/>
                <w:szCs w:val="36"/>
              </w:rPr>
              <w:t xml:space="preserve">SYSTEM DESIGN DOCUMENT</w:t>
            </w:r>
          </w:p>
          <w:p>
            <w:pPr>
              <w:jc w:val="center"/>
            </w:pPr>
            <w:r>
              <w:rPr>
                <w:rFonts w:ascii="Arial" w:cs="Arial" w:eastAsia="Arial" w:hAnsi="Arial"/>
                <w:color w:val="AABBCC"/>
                <w:sz w:val="22"/>
                <w:szCs w:val="22"/>
              </w:rPr>
              <w:t xml:space="preserve">4-Tier Architecture  ·  Version 1.0  ·  April 2026</w:t>
            </w:r>
          </w:p>
        </w:tc>
      </w:tr>
    </w:tbl>
    <w:p>
      <w:pPr>
        <w:spacing w:after="36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Attribute</w:t>
            </w:r>
          </w:p>
        </w:tc>
        <w:tc>
          <w:tcPr>
            <w:tcW w:type="dxa" w:w="68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r>
      <w:tr>
        <w:tc>
          <w:tcPr>
            <w:tcW w:type="dxa" w:w="3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Document Owner</w:t>
            </w:r>
          </w:p>
        </w:tc>
        <w:tc>
          <w:tcPr>
            <w:tcW w:type="dxa" w:w="6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Platform Engineering Team</w:t>
            </w:r>
          </w:p>
        </w:tc>
      </w:tr>
      <w:tr>
        <w:tc>
          <w:tcPr>
            <w:tcW w:type="dxa" w:w="3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Classification</w:t>
            </w:r>
          </w:p>
        </w:tc>
        <w:tc>
          <w:tcPr>
            <w:tcW w:type="dxa" w:w="6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Confidential — Internal Use Only</w:t>
            </w:r>
          </w:p>
        </w:tc>
      </w:tr>
      <w:tr>
        <w:tc>
          <w:tcPr>
            <w:tcW w:type="dxa" w:w="3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Product Version</w:t>
            </w:r>
          </w:p>
        </w:tc>
        <w:tc>
          <w:tcPr>
            <w:tcW w:type="dxa" w:w="6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v1.0 MVP</w:t>
            </w:r>
          </w:p>
        </w:tc>
      </w:tr>
      <w:tr>
        <w:tc>
          <w:tcPr>
            <w:tcW w:type="dxa" w:w="3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Target Launch</w:t>
            </w:r>
          </w:p>
        </w:tc>
        <w:tc>
          <w:tcPr>
            <w:tcW w:type="dxa" w:w="6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Q4 2026</w:t>
            </w:r>
          </w:p>
        </w:tc>
      </w:tr>
      <w:tr>
        <w:tc>
          <w:tcPr>
            <w:tcW w:type="dxa" w:w="3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Target Platforms</w:t>
            </w:r>
          </w:p>
        </w:tc>
        <w:tc>
          <w:tcPr>
            <w:tcW w:type="dxa" w:w="6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iOS · Android · Web</w:t>
            </w:r>
          </w:p>
        </w:tc>
      </w:tr>
      <w:tr>
        <w:tc>
          <w:tcPr>
            <w:tcW w:type="dxa" w:w="3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Architecture</w:t>
            </w:r>
          </w:p>
        </w:tc>
        <w:tc>
          <w:tcPr>
            <w:tcW w:type="dxa" w:w="6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4-Tier Cloud-Native Microservices</w:t>
            </w:r>
          </w:p>
        </w:tc>
      </w:tr>
      <w:tr>
        <w:tc>
          <w:tcPr>
            <w:tcW w:type="dxa" w:w="3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Primary Cloud</w:t>
            </w:r>
          </w:p>
        </w:tc>
        <w:tc>
          <w:tcPr>
            <w:tcW w:type="dxa" w:w="6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AWS (multi-region active-passive)</w:t>
            </w:r>
          </w:p>
        </w:tc>
      </w:tr>
      <w:tr>
        <w:tc>
          <w:tcPr>
            <w:tcW w:type="dxa" w:w="3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Document Status</w:t>
            </w:r>
          </w:p>
        </w:tc>
        <w:tc>
          <w:tcPr>
            <w:tcW w:type="dxa" w:w="6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Draft for Engineering Review</w:t>
            </w:r>
          </w:p>
        </w:tc>
      </w:tr>
    </w:tbl>
    <w:p>
      <w:pPr>
        <w:spacing w:after="20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007A6E" w:sz="1"/>
              <w:left w:val="single" w:color="007A6E" w:sz="1"/>
              <w:bottom w:val="single" w:color="007A6E" w:sz="1"/>
              <w:right w:val="single" w:color="007A6E" w:sz="1"/>
            </w:tcBorders>
            <w:shd w:fill="0D1B3E" w:val="clear"/>
            <w:tcMar>
              <w:top w:type="dxa" w:w="140"/>
              <w:left w:type="dxa" w:w="120"/>
              <w:bottom w:type="dxa" w:w="140"/>
              <w:right w:type="dxa" w:w="120"/>
            </w:tcMar>
            <w:vAlign w:val="center"/>
          </w:tcPr>
          <w:p>
            <w:pPr>
              <w:jc w:val="center"/>
            </w:pPr>
            <w:r>
              <w:rPr>
                <w:rFonts w:ascii="Arial" w:cs="Arial" w:eastAsia="Arial" w:hAnsi="Arial"/>
                <w:b/>
                <w:bCs/>
                <w:color w:val="00A693"/>
                <w:sz w:val="32"/>
                <w:szCs w:val="32"/>
              </w:rPr>
              <w:t xml:space="preserve">250K</w:t>
            </w:r>
          </w:p>
          <w:p>
            <w:pPr>
              <w:jc w:val="center"/>
            </w:pPr>
            <w:r>
              <w:rPr>
                <w:rFonts w:ascii="Arial" w:cs="Arial" w:eastAsia="Arial" w:hAnsi="Arial"/>
                <w:color w:val="AABBCC"/>
                <w:sz w:val="17"/>
                <w:szCs w:val="17"/>
              </w:rPr>
              <w:t xml:space="preserve">Target MAU</w:t>
            </w:r>
          </w:p>
        </w:tc>
        <w:tc>
          <w:tcPr>
            <w:tcW w:type="dxa" w:w="2016"/>
            <w:tcBorders>
              <w:top w:val="single" w:color="007A6E" w:sz="1"/>
              <w:left w:val="single" w:color="007A6E" w:sz="1"/>
              <w:bottom w:val="single" w:color="007A6E" w:sz="1"/>
              <w:right w:val="single" w:color="007A6E" w:sz="1"/>
            </w:tcBorders>
            <w:shd w:fill="2E3A59" w:val="clear"/>
            <w:tcMar>
              <w:top w:type="dxa" w:w="140"/>
              <w:left w:type="dxa" w:w="120"/>
              <w:bottom w:type="dxa" w:w="140"/>
              <w:right w:type="dxa" w:w="120"/>
            </w:tcMar>
            <w:vAlign w:val="center"/>
          </w:tcPr>
          <w:p>
            <w:pPr>
              <w:jc w:val="center"/>
            </w:pPr>
            <w:r>
              <w:rPr>
                <w:rFonts w:ascii="Arial" w:cs="Arial" w:eastAsia="Arial" w:hAnsi="Arial"/>
                <w:b/>
                <w:bCs/>
                <w:color w:val="00A693"/>
                <w:sz w:val="32"/>
                <w:szCs w:val="32"/>
              </w:rPr>
              <w:t xml:space="preserve">99.9%</w:t>
            </w:r>
          </w:p>
          <w:p>
            <w:pPr>
              <w:jc w:val="center"/>
            </w:pPr>
            <w:r>
              <w:rPr>
                <w:rFonts w:ascii="Arial" w:cs="Arial" w:eastAsia="Arial" w:hAnsi="Arial"/>
                <w:color w:val="AABBCC"/>
                <w:sz w:val="17"/>
                <w:szCs w:val="17"/>
              </w:rPr>
              <w:t xml:space="preserve">API Uptime SLA</w:t>
            </w:r>
          </w:p>
        </w:tc>
        <w:tc>
          <w:tcPr>
            <w:tcW w:type="dxa" w:w="2016"/>
            <w:tcBorders>
              <w:top w:val="single" w:color="007A6E" w:sz="1"/>
              <w:left w:val="single" w:color="007A6E" w:sz="1"/>
              <w:bottom w:val="single" w:color="007A6E" w:sz="1"/>
              <w:right w:val="single" w:color="007A6E" w:sz="1"/>
            </w:tcBorders>
            <w:shd w:fill="0D1B3E" w:val="clear"/>
            <w:tcMar>
              <w:top w:type="dxa" w:w="140"/>
              <w:left w:type="dxa" w:w="120"/>
              <w:bottom w:type="dxa" w:w="140"/>
              <w:right w:type="dxa" w:w="120"/>
            </w:tcMar>
            <w:vAlign w:val="center"/>
          </w:tcPr>
          <w:p>
            <w:pPr>
              <w:jc w:val="center"/>
            </w:pPr>
            <w:r>
              <w:rPr>
                <w:rFonts w:ascii="Arial" w:cs="Arial" w:eastAsia="Arial" w:hAnsi="Arial"/>
                <w:b/>
                <w:bCs/>
                <w:color w:val="00A693"/>
                <w:sz w:val="32"/>
                <w:szCs w:val="32"/>
              </w:rPr>
              <w:t xml:space="preserve">5M</w:t>
            </w:r>
          </w:p>
          <w:p>
            <w:pPr>
              <w:jc w:val="center"/>
            </w:pPr>
            <w:r>
              <w:rPr>
                <w:rFonts w:ascii="Arial" w:cs="Arial" w:eastAsia="Arial" w:hAnsi="Arial"/>
                <w:color w:val="AABBCC"/>
                <w:sz w:val="17"/>
                <w:szCs w:val="17"/>
              </w:rPr>
              <w:t xml:space="preserve">Scale Capacity</w:t>
            </w:r>
          </w:p>
        </w:tc>
        <w:tc>
          <w:tcPr>
            <w:tcW w:type="dxa" w:w="2016"/>
            <w:tcBorders>
              <w:top w:val="single" w:color="007A6E" w:sz="1"/>
              <w:left w:val="single" w:color="007A6E" w:sz="1"/>
              <w:bottom w:val="single" w:color="007A6E" w:sz="1"/>
              <w:right w:val="single" w:color="007A6E" w:sz="1"/>
            </w:tcBorders>
            <w:shd w:fill="2E3A59" w:val="clear"/>
            <w:tcMar>
              <w:top w:type="dxa" w:w="140"/>
              <w:left w:type="dxa" w:w="120"/>
              <w:bottom w:type="dxa" w:w="140"/>
              <w:right w:type="dxa" w:w="120"/>
            </w:tcMar>
            <w:vAlign w:val="center"/>
          </w:tcPr>
          <w:p>
            <w:pPr>
              <w:jc w:val="center"/>
            </w:pPr>
            <w:r>
              <w:rPr>
                <w:rFonts w:ascii="Arial" w:cs="Arial" w:eastAsia="Arial" w:hAnsi="Arial"/>
                <w:b/>
                <w:bCs/>
                <w:color w:val="00A693"/>
                <w:sz w:val="32"/>
                <w:szCs w:val="32"/>
              </w:rPr>
              <w:t xml:space="preserve">&lt;2s</w:t>
            </w:r>
          </w:p>
          <w:p>
            <w:pPr>
              <w:jc w:val="center"/>
            </w:pPr>
            <w:r>
              <w:rPr>
                <w:rFonts w:ascii="Arial" w:cs="Arial" w:eastAsia="Arial" w:hAnsi="Arial"/>
                <w:color w:val="AABBCC"/>
                <w:sz w:val="17"/>
                <w:szCs w:val="17"/>
              </w:rPr>
              <w:t xml:space="preserve">Cold Start</w:t>
            </w:r>
          </w:p>
        </w:tc>
        <w:tc>
          <w:tcPr>
            <w:tcW w:type="dxa" w:w="2016"/>
            <w:tcBorders>
              <w:top w:val="single" w:color="007A6E" w:sz="1"/>
              <w:left w:val="single" w:color="007A6E" w:sz="1"/>
              <w:bottom w:val="single" w:color="007A6E" w:sz="1"/>
              <w:right w:val="single" w:color="007A6E" w:sz="1"/>
            </w:tcBorders>
            <w:shd w:fill="0D1B3E" w:val="clear"/>
            <w:tcMar>
              <w:top w:type="dxa" w:w="140"/>
              <w:left w:type="dxa" w:w="120"/>
              <w:bottom w:type="dxa" w:w="140"/>
              <w:right w:type="dxa" w:w="120"/>
            </w:tcMar>
            <w:vAlign w:val="center"/>
          </w:tcPr>
          <w:p>
            <w:pPr>
              <w:jc w:val="center"/>
            </w:pPr>
            <w:r>
              <w:rPr>
                <w:rFonts w:ascii="Arial" w:cs="Arial" w:eastAsia="Arial" w:hAnsi="Arial"/>
                <w:b/>
                <w:bCs/>
                <w:color w:val="00A693"/>
                <w:sz w:val="32"/>
                <w:szCs w:val="32"/>
              </w:rPr>
              <w:t xml:space="preserve">45%</w:t>
            </w:r>
          </w:p>
          <w:p>
            <w:pPr>
              <w:jc w:val="center"/>
            </w:pPr>
            <w:r>
              <w:rPr>
                <w:rFonts w:ascii="Arial" w:cs="Arial" w:eastAsia="Arial" w:hAnsi="Arial"/>
                <w:color w:val="AABBCC"/>
                <w:sz w:val="17"/>
                <w:szCs w:val="17"/>
              </w:rPr>
              <w:t xml:space="preserve">D30 Retention</w:t>
            </w:r>
          </w:p>
        </w:tc>
      </w:tr>
    </w:tbl>
    <w:p>
      <w:r>
        <w:br w:type="page"/>
      </w:r>
    </w:p>
    <w:p>
      <w:pPr>
        <w:pStyle w:val="Heading1"/>
        <w:spacing w:after="120" w:before="400"/>
      </w:pPr>
      <w:r>
        <w:rPr>
          <w:rFonts w:ascii="Arial" w:cs="Arial" w:eastAsia="Arial" w:hAnsi="Arial"/>
          <w:b/>
          <w:bCs/>
        </w:rPr>
        <w:t xml:space="preserve">Table of Contents</w:t>
      </w:r>
    </w:p>
    <w:p>
      <w:pPr>
        <w:pBdr>
          <w:bottom w:val="single" w:color="007A6E" w:sz="6" w:space="1"/>
        </w:pBdr>
        <w:spacing w:after="200" w:before="0"/>
      </w:pPr>
      <w:r>
        <w:rPr>
          <w:rFonts w:ascii="Arial" w:cs="Arial" w:eastAsia="Arial" w:hAnsi="Arial"/>
        </w:rPr>
        <w:t xml:space="preserve"/>
      </w:r>
    </w:p>
    <w:p>
      <w:pPr>
        <w:spacing w:after="0" w:before="60"/>
      </w:pPr>
      <w:r>
        <w:rPr>
          <w:rFonts w:ascii="Arial" w:cs="Arial" w:eastAsia="Arial" w:hAnsi="Arial"/>
          <w:color w:val="111827"/>
          <w:sz w:val="20"/>
          <w:szCs w:val="20"/>
        </w:rPr>
        <w:t xml:space="preserve">1. Executive Architecture Overview</w:t>
      </w:r>
    </w:p>
    <w:p>
      <w:pPr>
        <w:spacing w:after="0" w:before="60"/>
      </w:pPr>
      <w:r>
        <w:rPr>
          <w:rFonts w:ascii="Arial" w:cs="Arial" w:eastAsia="Arial" w:hAnsi="Arial"/>
          <w:color w:val="111827"/>
          <w:sz w:val="20"/>
          <w:szCs w:val="20"/>
        </w:rPr>
        <w:t xml:space="preserve">2. 4-Tier Architecture Model</w:t>
      </w:r>
    </w:p>
    <w:p>
      <w:pPr>
        <w:spacing w:after="0" w:before="20"/>
      </w:pPr>
      <w:r>
        <w:rPr>
          <w:rFonts w:ascii="Arial" w:cs="Arial" w:eastAsia="Arial" w:hAnsi="Arial"/>
          <w:color w:val="6B7280"/>
          <w:sz w:val="20"/>
          <w:szCs w:val="20"/>
        </w:rPr>
        <w:t xml:space="preserve">      Tier 1 — Client &amp; Presentation Layer</w:t>
      </w:r>
    </w:p>
    <w:p>
      <w:pPr>
        <w:spacing w:after="0" w:before="20"/>
      </w:pPr>
      <w:r>
        <w:rPr>
          <w:rFonts w:ascii="Arial" w:cs="Arial" w:eastAsia="Arial" w:hAnsi="Arial"/>
          <w:color w:val="6B7280"/>
          <w:sz w:val="20"/>
          <w:szCs w:val="20"/>
        </w:rPr>
        <w:t xml:space="preserve">      Tier 2 — API Gateway &amp; Edge Services</w:t>
      </w:r>
    </w:p>
    <w:p>
      <w:pPr>
        <w:spacing w:after="0" w:before="20"/>
      </w:pPr>
      <w:r>
        <w:rPr>
          <w:rFonts w:ascii="Arial" w:cs="Arial" w:eastAsia="Arial" w:hAnsi="Arial"/>
          <w:color w:val="6B7280"/>
          <w:sz w:val="20"/>
          <w:szCs w:val="20"/>
        </w:rPr>
        <w:t xml:space="preserve">      Tier 3 — Business Logic &amp; Microservices</w:t>
      </w:r>
    </w:p>
    <w:p>
      <w:pPr>
        <w:spacing w:after="0" w:before="20"/>
      </w:pPr>
      <w:r>
        <w:rPr>
          <w:rFonts w:ascii="Arial" w:cs="Arial" w:eastAsia="Arial" w:hAnsi="Arial"/>
          <w:color w:val="6B7280"/>
          <w:sz w:val="20"/>
          <w:szCs w:val="20"/>
        </w:rPr>
        <w:t xml:space="preserve">      Tier 4 — Data &amp; Persistence Layer</w:t>
      </w:r>
    </w:p>
    <w:p>
      <w:pPr>
        <w:spacing w:after="0" w:before="60"/>
      </w:pPr>
      <w:r>
        <w:rPr>
          <w:rFonts w:ascii="Arial" w:cs="Arial" w:eastAsia="Arial" w:hAnsi="Arial"/>
          <w:color w:val="111827"/>
          <w:sz w:val="20"/>
          <w:szCs w:val="20"/>
        </w:rPr>
        <w:t xml:space="preserve">3. Component Architecture Diagram</w:t>
      </w:r>
    </w:p>
    <w:p>
      <w:pPr>
        <w:spacing w:after="0" w:before="60"/>
      </w:pPr>
      <w:r>
        <w:rPr>
          <w:rFonts w:ascii="Arial" w:cs="Arial" w:eastAsia="Arial" w:hAnsi="Arial"/>
          <w:color w:val="111827"/>
          <w:sz w:val="20"/>
          <w:szCs w:val="20"/>
        </w:rPr>
        <w:t xml:space="preserve">4. Service Decomposition</w:t>
      </w:r>
    </w:p>
    <w:p>
      <w:pPr>
        <w:spacing w:after="0" w:before="60"/>
      </w:pPr>
      <w:r>
        <w:rPr>
          <w:rFonts w:ascii="Arial" w:cs="Arial" w:eastAsia="Arial" w:hAnsi="Arial"/>
          <w:color w:val="111827"/>
          <w:sz w:val="20"/>
          <w:szCs w:val="20"/>
        </w:rPr>
        <w:t xml:space="preserve">5. Data Architecture &amp; Flow</w:t>
      </w:r>
    </w:p>
    <w:p>
      <w:pPr>
        <w:spacing w:after="0" w:before="60"/>
      </w:pPr>
      <w:r>
        <w:rPr>
          <w:rFonts w:ascii="Arial" w:cs="Arial" w:eastAsia="Arial" w:hAnsi="Arial"/>
          <w:color w:val="111827"/>
          <w:sz w:val="20"/>
          <w:szCs w:val="20"/>
        </w:rPr>
        <w:t xml:space="preserve">6. Integration Architecture</w:t>
      </w:r>
    </w:p>
    <w:p>
      <w:pPr>
        <w:spacing w:after="0" w:before="60"/>
      </w:pPr>
      <w:r>
        <w:rPr>
          <w:rFonts w:ascii="Arial" w:cs="Arial" w:eastAsia="Arial" w:hAnsi="Arial"/>
          <w:color w:val="111827"/>
          <w:sz w:val="20"/>
          <w:szCs w:val="20"/>
        </w:rPr>
        <w:t xml:space="preserve">7. Security Architecture</w:t>
      </w:r>
    </w:p>
    <w:p>
      <w:pPr>
        <w:spacing w:after="0" w:before="60"/>
      </w:pPr>
      <w:r>
        <w:rPr>
          <w:rFonts w:ascii="Arial" w:cs="Arial" w:eastAsia="Arial" w:hAnsi="Arial"/>
          <w:color w:val="111827"/>
          <w:sz w:val="20"/>
          <w:szCs w:val="20"/>
        </w:rPr>
        <w:t xml:space="preserve">8. Infrastructure &amp; Deployment</w:t>
      </w:r>
    </w:p>
    <w:p>
      <w:pPr>
        <w:spacing w:after="0" w:before="60"/>
      </w:pPr>
      <w:r>
        <w:rPr>
          <w:rFonts w:ascii="Arial" w:cs="Arial" w:eastAsia="Arial" w:hAnsi="Arial"/>
          <w:color w:val="111827"/>
          <w:sz w:val="20"/>
          <w:szCs w:val="20"/>
        </w:rPr>
        <w:t xml:space="preserve">9. Scalability &amp; Performance Design</w:t>
      </w:r>
    </w:p>
    <w:p>
      <w:pPr>
        <w:spacing w:after="0" w:before="60"/>
      </w:pPr>
      <w:r>
        <w:rPr>
          <w:rFonts w:ascii="Arial" w:cs="Arial" w:eastAsia="Arial" w:hAnsi="Arial"/>
          <w:color w:val="111827"/>
          <w:sz w:val="20"/>
          <w:szCs w:val="20"/>
        </w:rPr>
        <w:t xml:space="preserve">10. Observability &amp; Monitoring</w:t>
      </w:r>
    </w:p>
    <w:p>
      <w:pPr>
        <w:spacing w:after="0" w:before="60"/>
      </w:pPr>
      <w:r>
        <w:rPr>
          <w:rFonts w:ascii="Arial" w:cs="Arial" w:eastAsia="Arial" w:hAnsi="Arial"/>
          <w:color w:val="111827"/>
          <w:sz w:val="20"/>
          <w:szCs w:val="20"/>
        </w:rPr>
        <w:t xml:space="preserve">11. Disaster Recovery &amp; Resilience</w:t>
      </w:r>
    </w:p>
    <w:p>
      <w:pPr>
        <w:spacing w:after="0" w:before="60"/>
      </w:pPr>
      <w:r>
        <w:rPr>
          <w:rFonts w:ascii="Arial" w:cs="Arial" w:eastAsia="Arial" w:hAnsi="Arial"/>
          <w:color w:val="111827"/>
          <w:sz w:val="20"/>
          <w:szCs w:val="20"/>
        </w:rPr>
        <w:t xml:space="preserve">12. Non-Functional Requirements Matrix</w:t>
      </w:r>
    </w:p>
    <w:p>
      <w:pPr>
        <w:spacing w:after="0" w:before="60"/>
      </w:pPr>
      <w:r>
        <w:rPr>
          <w:rFonts w:ascii="Arial" w:cs="Arial" w:eastAsia="Arial" w:hAnsi="Arial"/>
          <w:color w:val="111827"/>
          <w:sz w:val="20"/>
          <w:szCs w:val="20"/>
        </w:rPr>
        <w:t xml:space="preserve">13. Technology Stack Summary</w:t>
      </w:r>
    </w:p>
    <w:p>
      <w:pPr>
        <w:spacing w:after="0" w:before="60"/>
      </w:pPr>
      <w:r>
        <w:rPr>
          <w:rFonts w:ascii="Arial" w:cs="Arial" w:eastAsia="Arial" w:hAnsi="Arial"/>
          <w:color w:val="111827"/>
          <w:sz w:val="20"/>
          <w:szCs w:val="20"/>
        </w:rPr>
        <w:t xml:space="preserve">14. Architectural Decision Records (ADRs)</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9440"/>
      </w:tblGrid>
      <w:tr>
        <w:tc>
          <w:tcPr>
            <w:tcW w:type="dxa" w:w="640"/>
            <w:tcBorders>
              <w:top w:val="none"/>
              <w:left w:val="none"/>
              <w:bottom w:val="none"/>
              <w:right w:val="none"/>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01</w:t>
            </w:r>
          </w:p>
        </w:tc>
        <w:tc>
          <w:tcPr>
            <w:tcW w:type="dxa" w:w="9440"/>
            <w:tcBorders>
              <w:top w:val="none"/>
              <w:left w:val="none"/>
              <w:bottom w:val="single" w:color="007A6E" w:sz="3"/>
              <w:right w:val="none"/>
            </w:tcBorders>
            <w:shd w:fill="E6F4F2" w:val="clear"/>
            <w:tcMar>
              <w:top w:type="dxa" w:w="100"/>
              <w:left w:type="dxa" w:w="200"/>
              <w:bottom w:type="dxa" w:w="100"/>
              <w:right w:type="dxa" w:w="160"/>
            </w:tcMar>
            <w:vAlign w:val="center"/>
          </w:tcPr>
          <w:p>
            <w:pPr>
              <w:spacing w:after="30" w:before="0"/>
            </w:pPr>
            <w:r>
              <w:rPr>
                <w:rFonts w:ascii="Arial" w:cs="Arial" w:eastAsia="Arial" w:hAnsi="Arial"/>
                <w:b/>
                <w:bCs/>
                <w:color w:val="0D1B3E"/>
                <w:sz w:val="30"/>
                <w:szCs w:val="30"/>
              </w:rPr>
              <w:t xml:space="preserve">Executive Architecture Overview</w:t>
            </w:r>
          </w:p>
          <w:p>
            <w:pPr>
              <w:spacing w:after="0" w:before="0"/>
            </w:pPr>
            <w:r>
              <w:rPr>
                <w:rFonts w:ascii="Arial" w:cs="Arial" w:eastAsia="Arial" w:hAnsi="Arial"/>
                <w:i/>
                <w:iCs/>
                <w:color w:val="007A6E"/>
                <w:sz w:val="18"/>
                <w:szCs w:val="18"/>
              </w:rPr>
              <w:t xml:space="preserve">High-level design philosophy and constraints</w:t>
            </w:r>
          </w:p>
        </w:tc>
      </w:tr>
    </w:tbl>
    <w:p>
      <w:pPr>
        <w:spacing w:after="200" w:before="0"/>
      </w:pPr>
      <w:r>
        <w:rPr>
          <w:rFonts w:ascii="Arial" w:cs="Arial" w:eastAsia="Arial" w:hAnsi="Arial"/>
        </w:rPr>
        <w:t xml:space="preserve"/>
      </w:r>
    </w:p>
    <w:p>
      <w:pPr>
        <w:spacing w:after="180" w:before="0"/>
      </w:pPr>
      <w:r>
        <w:rPr>
          <w:rFonts w:ascii="Arial" w:cs="Arial" w:eastAsia="Arial" w:hAnsi="Arial"/>
          <w:color w:val="111827"/>
          <w:sz w:val="22"/>
          <w:szCs w:val="22"/>
        </w:rPr>
        <w:t xml:space="preserve">FinFlow is a cloud-native, AI-powered personal finance platform built on a strict 4-tier architecture. Every architectural decision is governed by three principles: </w:t>
      </w:r>
      <w:r>
        <w:rPr>
          <w:rFonts w:ascii="Arial" w:cs="Arial" w:eastAsia="Arial" w:hAnsi="Arial"/>
          <w:b/>
          <w:bCs/>
          <w:color w:val="007A6E"/>
          <w:sz w:val="22"/>
          <w:szCs w:val="22"/>
        </w:rPr>
        <w:t xml:space="preserve">real-time financial intelligence</w:t>
      </w:r>
      <w:r>
        <w:rPr>
          <w:rFonts w:ascii="Arial" w:cs="Arial" w:eastAsia="Arial" w:hAnsi="Arial"/>
          <w:sz w:val="22"/>
          <w:szCs w:val="22"/>
        </w:rPr>
        <w:t xml:space="preserve">, </w:t>
      </w:r>
      <w:r>
        <w:rPr>
          <w:rFonts w:ascii="Arial" w:cs="Arial" w:eastAsia="Arial" w:hAnsi="Arial"/>
          <w:b/>
          <w:bCs/>
          <w:color w:val="007A6E"/>
          <w:sz w:val="22"/>
          <w:szCs w:val="22"/>
        </w:rPr>
        <w:t xml:space="preserve">zero-credential security</w:t>
      </w:r>
      <w:r>
        <w:rPr>
          <w:rFonts w:ascii="Arial" w:cs="Arial" w:eastAsia="Arial" w:hAnsi="Arial"/>
          <w:sz w:val="22"/>
          <w:szCs w:val="22"/>
        </w:rPr>
        <w:t xml:space="preserve">, and </w:t>
      </w:r>
      <w:r>
        <w:rPr>
          <w:rFonts w:ascii="Arial" w:cs="Arial" w:eastAsia="Arial" w:hAnsi="Arial"/>
          <w:b/>
          <w:bCs/>
          <w:color w:val="007A6E"/>
          <w:sz w:val="22"/>
          <w:szCs w:val="22"/>
        </w:rPr>
        <w:t xml:space="preserve">sub-second user experience at scale</w:t>
      </w:r>
      <w:r>
        <w:rPr>
          <w:rFonts w:ascii="Arial" w:cs="Arial" w:eastAsia="Arial" w:hAnsi="Arial"/>
          <w:sz w:val="22"/>
          <w:szCs w:val="2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A6E" w:sz="3"/>
              <w:left w:val="single" w:color="007A6E" w:sz="16"/>
              <w:bottom w:val="single" w:color="007A6E" w:sz="1"/>
              <w:right w:val="single" w:color="007A6E" w:sz="1"/>
            </w:tcBorders>
            <w:shd w:fill="E6F4F2" w:val="clear"/>
            <w:tcMar>
              <w:top w:type="dxa" w:w="120"/>
              <w:left w:type="dxa" w:w="180"/>
              <w:bottom w:type="dxa" w:w="120"/>
              <w:right w:type="dxa" w:w="180"/>
            </w:tcMar>
          </w:tcPr>
          <w:p>
            <w:pPr>
              <w:spacing w:after="80" w:before="0"/>
            </w:pPr>
            <w:r>
              <w:rPr>
                <w:rFonts w:ascii="Arial" w:cs="Arial" w:eastAsia="Arial" w:hAnsi="Arial"/>
                <w:b/>
                <w:bCs/>
                <w:color w:val="007A6E"/>
                <w:sz w:val="22"/>
                <w:szCs w:val="22"/>
              </w:rPr>
              <w:t xml:space="preserve">🎯  Design Objectives</w:t>
            </w:r>
          </w:p>
          <w:p>
            <w:pPr>
              <w:spacing w:after="30" w:before="30"/>
            </w:pPr>
            <w:r>
              <w:rPr>
                <w:rFonts w:ascii="Arial" w:cs="Arial" w:eastAsia="Arial" w:hAnsi="Arial"/>
                <w:color w:val="374151"/>
                <w:sz w:val="20"/>
                <w:szCs w:val="20"/>
              </w:rPr>
              <w:t xml:space="preserve">Handle 5M+ concurrent users without architecture re-design</w:t>
            </w:r>
          </w:p>
          <w:p>
            <w:pPr>
              <w:spacing w:after="30" w:before="30"/>
            </w:pPr>
            <w:r>
              <w:rPr>
                <w:rFonts w:ascii="Arial" w:cs="Arial" w:eastAsia="Arial" w:hAnsi="Arial"/>
                <w:color w:val="374151"/>
                <w:sz w:val="20"/>
                <w:szCs w:val="20"/>
              </w:rPr>
              <w:t xml:space="preserve">Process financial data with &lt;500ms dashboard load (cached) and &lt;30s full account sync</w:t>
            </w:r>
          </w:p>
          <w:p>
            <w:pPr>
              <w:spacing w:after="30" w:before="30"/>
            </w:pPr>
            <w:r>
              <w:rPr>
                <w:rFonts w:ascii="Arial" w:cs="Arial" w:eastAsia="Arial" w:hAnsi="Arial"/>
                <w:color w:val="374151"/>
                <w:sz w:val="20"/>
                <w:szCs w:val="20"/>
              </w:rPr>
              <w:t xml:space="preserve">Maintain bank-grade security: AES-256 at rest, TLS 1.3 in transit, OAuth 2.0 only — zero credential storage</w:t>
            </w:r>
          </w:p>
          <w:p>
            <w:pPr>
              <w:spacing w:after="30" w:before="30"/>
            </w:pPr>
            <w:r>
              <w:rPr>
                <w:rFonts w:ascii="Arial" w:cs="Arial" w:eastAsia="Arial" w:hAnsi="Arial"/>
                <w:color w:val="374151"/>
                <w:sz w:val="20"/>
                <w:szCs w:val="20"/>
              </w:rPr>
              <w:t xml:space="preserve">Support real-time email NLP pipeline completing within 5 minutes of new email arrival</w:t>
            </w:r>
          </w:p>
          <w:p>
            <w:pPr>
              <w:spacing w:after="30" w:before="30"/>
            </w:pPr>
            <w:r>
              <w:rPr>
                <w:rFonts w:ascii="Arial" w:cs="Arial" w:eastAsia="Arial" w:hAnsi="Arial"/>
                <w:color w:val="374151"/>
                <w:sz w:val="20"/>
                <w:szCs w:val="20"/>
              </w:rPr>
              <w:t xml:space="preserve">Achieve 99.9% API uptime SLA with multi-region active-passive failover</w:t>
            </w:r>
          </w:p>
        </w:tc>
      </w:tr>
    </w:tbl>
    <w:p>
      <w:pPr>
        <w:spacing w:after="12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860A" w:sz="3"/>
              <w:left w:val="single" w:color="C8860A" w:sz="16"/>
              <w:bottom w:val="single" w:color="C8860A" w:sz="1"/>
              <w:right w:val="single" w:color="C8860A" w:sz="1"/>
            </w:tcBorders>
            <w:shd w:fill="FEF6E4" w:val="clear"/>
            <w:tcMar>
              <w:top w:type="dxa" w:w="120"/>
              <w:left w:type="dxa" w:w="180"/>
              <w:bottom w:type="dxa" w:w="120"/>
              <w:right w:type="dxa" w:w="180"/>
            </w:tcMar>
          </w:tcPr>
          <w:p>
            <w:pPr>
              <w:spacing w:after="80" w:before="0"/>
            </w:pPr>
            <w:r>
              <w:rPr>
                <w:rFonts w:ascii="Arial" w:cs="Arial" w:eastAsia="Arial" w:hAnsi="Arial"/>
                <w:b/>
                <w:bCs/>
                <w:color w:val="C8860A"/>
                <w:sz w:val="22"/>
                <w:szCs w:val="22"/>
              </w:rPr>
              <w:t xml:space="preserve">⚠️  Architectural Constraints</w:t>
            </w:r>
          </w:p>
          <w:p>
            <w:pPr>
              <w:spacing w:after="30" w:before="30"/>
            </w:pPr>
            <w:r>
              <w:rPr>
                <w:rFonts w:ascii="Arial" w:cs="Arial" w:eastAsia="Arial" w:hAnsi="Arial"/>
                <w:color w:val="374151"/>
                <w:sz w:val="20"/>
                <w:szCs w:val="20"/>
              </w:rPr>
              <w:t xml:space="preserve">No raw bank credentials stored — aggregator OAuth tokens only (Plaid / MX / Finicity)</w:t>
            </w:r>
          </w:p>
          <w:p>
            <w:pPr>
              <w:spacing w:after="30" w:before="30"/>
            </w:pPr>
            <w:r>
              <w:rPr>
                <w:rFonts w:ascii="Arial" w:cs="Arial" w:eastAsia="Arial" w:hAnsi="Arial"/>
                <w:color w:val="374151"/>
                <w:sz w:val="20"/>
                <w:szCs w:val="20"/>
              </w:rPr>
              <w:t xml:space="preserve">Email content never persisted on servers — on-device NLP pre-filter + metadata extraction only</w:t>
            </w:r>
          </w:p>
          <w:p>
            <w:pPr>
              <w:spacing w:after="30" w:before="30"/>
            </w:pPr>
            <w:r>
              <w:rPr>
                <w:rFonts w:ascii="Arial" w:cs="Arial" w:eastAsia="Arial" w:hAnsi="Arial"/>
                <w:color w:val="374151"/>
                <w:sz w:val="20"/>
                <w:szCs w:val="20"/>
              </w:rPr>
              <w:t xml:space="preserve">All PII encrypted at rest; encryption keys managed via AWS KMS with automatic rotation</w:t>
            </w:r>
          </w:p>
          <w:p>
            <w:pPr>
              <w:spacing w:after="30" w:before="30"/>
            </w:pPr>
            <w:r>
              <w:rPr>
                <w:rFonts w:ascii="Arial" w:cs="Arial" w:eastAsia="Arial" w:hAnsi="Arial"/>
                <w:color w:val="374151"/>
                <w:sz w:val="20"/>
                <w:szCs w:val="20"/>
              </w:rPr>
              <w:t xml:space="preserve">SOC 2 Type II, GDPR, CCPA compliance required at launch; all data flows support 30-day deletion SLA</w:t>
            </w:r>
          </w:p>
          <w:p>
            <w:pPr>
              <w:spacing w:after="30" w:before="30"/>
            </w:pPr>
            <w:r>
              <w:rPr>
                <w:rFonts w:ascii="Arial" w:cs="Arial" w:eastAsia="Arial" w:hAnsi="Arial"/>
                <w:color w:val="374151"/>
                <w:sz w:val="20"/>
                <w:szCs w:val="20"/>
              </w:rPr>
              <w:t xml:space="preserve">Third-party aggregator APIs introduce latency — must be async with graceful degradation fallbacks</w:t>
            </w:r>
          </w:p>
        </w:tc>
      </w:tr>
    </w:tbl>
    <w:p>
      <w:pPr>
        <w:spacing w:after="160" w:before="0"/>
      </w:pPr>
      <w:r>
        <w:rPr>
          <w:rFonts w:ascii="Arial" w:cs="Arial" w:eastAsia="Arial" w:hAnsi="Arial"/>
        </w:rPr>
        <w:t xml:space="preserve"/>
      </w:r>
    </w:p>
    <w:p>
      <w:pPr>
        <w:pStyle w:val="Heading2"/>
        <w:spacing w:after="120" w:before="280"/>
      </w:pPr>
      <w:r>
        <w:rPr>
          <w:rFonts w:ascii="Arial" w:cs="Arial" w:eastAsia="Arial" w:hAnsi="Arial"/>
          <w:b/>
          <w:bCs/>
        </w:rPr>
        <w:t xml:space="preserve">Architecture Philosophy</w:t>
      </w:r>
    </w:p>
    <w:p>
      <w:pPr>
        <w:spacing w:after="180" w:before="0"/>
      </w:pPr>
      <w:r>
        <w:rPr>
          <w:rFonts w:ascii="Arial" w:cs="Arial" w:eastAsia="Arial" w:hAnsi="Arial"/>
          <w:color w:val="374151"/>
          <w:sz w:val="21"/>
          <w:szCs w:val="21"/>
        </w:rPr>
        <w:t xml:space="preserve">The 4-tier model cleanly separates concerns across presentation, orchestration, business logic, and data layers. Each tier communicates only with adjacent tiers via well-defined contracts, enabling independent scaling, deployment, and fault isolation. The architecture is intentionally cloud-native (AWS-first) and microservices-based, with each domain service owning its schema and deployment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600"/>
        <w:gridCol w:w="2080"/>
      </w:tblGrid>
      <w:tr>
        <w:trPr>
          <w:tblHeader/>
        </w:trPr>
        <w:tc>
          <w:tcPr>
            <w:tcW w:type="dxa" w:w="22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Tier</w:t>
            </w:r>
          </w:p>
        </w:tc>
        <w:tc>
          <w:tcPr>
            <w:tcW w:type="dxa" w:w="32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c>
          <w:tcPr>
            <w:tcW w:type="dxa" w:w="26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Technology</w:t>
            </w:r>
          </w:p>
        </w:tc>
        <w:tc>
          <w:tcPr>
            <w:tcW w:type="dxa" w:w="20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Scaling Model</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Tier 1 — Client</w:t>
            </w:r>
          </w:p>
        </w:tc>
        <w:tc>
          <w:tcPr>
            <w:tcW w:type="dxa" w:w="3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UX rendering, local caching, biometric auth</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React Native, Next.js</w:t>
            </w:r>
          </w:p>
        </w:tc>
        <w:tc>
          <w:tcPr>
            <w:tcW w:type="dxa" w:w="20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User devices (CDN-served)</w:t>
            </w:r>
          </w:p>
        </w:tc>
      </w:tr>
      <w:tr>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Tier 2 — Edge &amp; API</w:t>
            </w:r>
          </w:p>
        </w:tc>
        <w:tc>
          <w:tcPr>
            <w:tcW w:type="dxa" w:w="3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Auth, rate limiting, routing, aggregation</w:t>
            </w:r>
          </w:p>
        </w:tc>
        <w:tc>
          <w:tcPr>
            <w:tcW w:type="dxa" w:w="2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GraphQL Gateway, AWS API GW</w:t>
            </w:r>
          </w:p>
        </w:tc>
        <w:tc>
          <w:tcPr>
            <w:tcW w:type="dxa" w:w="20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Horizontal auto-scale</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Tier 3 — Services</w:t>
            </w:r>
          </w:p>
        </w:tc>
        <w:tc>
          <w:tcPr>
            <w:tcW w:type="dxa" w:w="3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Business logic, ML, integrations, prompts</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Node.js / Python microservices</w:t>
            </w:r>
          </w:p>
        </w:tc>
        <w:tc>
          <w:tcPr>
            <w:tcW w:type="dxa" w:w="20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Per-service horizontal pods</w:t>
            </w:r>
          </w:p>
        </w:tc>
      </w:tr>
      <w:tr>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Tier 4 — Data</w:t>
            </w:r>
          </w:p>
        </w:tc>
        <w:tc>
          <w:tcPr>
            <w:tcW w:type="dxa" w:w="3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Persistence, caching, event streaming, ML</w:t>
            </w:r>
          </w:p>
        </w:tc>
        <w:tc>
          <w:tcPr>
            <w:tcW w:type="dxa" w:w="2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PostgreSQL, Redis, S3, SageMaker</w:t>
            </w:r>
          </w:p>
        </w:tc>
        <w:tc>
          <w:tcPr>
            <w:tcW w:type="dxa" w:w="20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Sharded + read replicas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9440"/>
      </w:tblGrid>
      <w:tr>
        <w:tc>
          <w:tcPr>
            <w:tcW w:type="dxa" w:w="640"/>
            <w:tcBorders>
              <w:top w:val="none"/>
              <w:left w:val="none"/>
              <w:bottom w:val="none"/>
              <w:right w:val="none"/>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02</w:t>
            </w:r>
          </w:p>
        </w:tc>
        <w:tc>
          <w:tcPr>
            <w:tcW w:type="dxa" w:w="9440"/>
            <w:tcBorders>
              <w:top w:val="none"/>
              <w:left w:val="none"/>
              <w:bottom w:val="single" w:color="007A6E" w:sz="3"/>
              <w:right w:val="none"/>
            </w:tcBorders>
            <w:shd w:fill="E6F4F2" w:val="clear"/>
            <w:tcMar>
              <w:top w:type="dxa" w:w="100"/>
              <w:left w:type="dxa" w:w="200"/>
              <w:bottom w:type="dxa" w:w="100"/>
              <w:right w:type="dxa" w:w="160"/>
            </w:tcMar>
            <w:vAlign w:val="center"/>
          </w:tcPr>
          <w:p>
            <w:pPr>
              <w:spacing w:after="30" w:before="0"/>
            </w:pPr>
            <w:r>
              <w:rPr>
                <w:rFonts w:ascii="Arial" w:cs="Arial" w:eastAsia="Arial" w:hAnsi="Arial"/>
                <w:b/>
                <w:bCs/>
                <w:color w:val="0D1B3E"/>
                <w:sz w:val="30"/>
                <w:szCs w:val="30"/>
              </w:rPr>
              <w:t xml:space="preserve">4-Tier Architecture Model</w:t>
            </w:r>
          </w:p>
          <w:p>
            <w:pPr>
              <w:spacing w:after="0" w:before="0"/>
            </w:pPr>
            <w:r>
              <w:rPr>
                <w:rFonts w:ascii="Arial" w:cs="Arial" w:eastAsia="Arial" w:hAnsi="Arial"/>
                <w:i/>
                <w:iCs/>
                <w:color w:val="007A6E"/>
                <w:sz w:val="18"/>
                <w:szCs w:val="18"/>
              </w:rPr>
              <w:t xml:space="preserve">Detailed layer-by-layer breakdown</w:t>
            </w:r>
          </w:p>
        </w:tc>
      </w:tr>
    </w:tbl>
    <w:p>
      <w:pPr>
        <w:spacing w:after="20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D4ED8" w:sz="24"/>
              <w:bottom w:val="none"/>
              <w:right w:val="none"/>
            </w:tcBorders>
            <w:shd w:fill="EFF6FF" w:val="clear"/>
            <w:tcMar>
              <w:top w:type="dxa" w:w="140"/>
              <w:left w:type="dxa" w:w="200"/>
              <w:bottom w:type="dxa" w:w="140"/>
              <w:right w:type="dxa" w:w="180"/>
            </w:tcMar>
          </w:tcPr>
          <w:p>
            <w:pPr>
              <w:spacing w:after="80" w:before="0"/>
            </w:pPr>
            <w:r>
              <w:rPr>
                <w:rFonts w:ascii="Arial" w:cs="Arial" w:eastAsia="Arial" w:hAnsi="Arial"/>
                <w:b/>
                <w:bCs/>
                <w:color w:val="1D4ED8"/>
                <w:sz w:val="18"/>
                <w:szCs w:val="18"/>
              </w:rPr>
              <w:t xml:space="preserve">TIER 1</w:t>
            </w:r>
            <w:r>
              <w:rPr>
                <w:rFonts w:ascii="Arial" w:cs="Arial" w:eastAsia="Arial" w:hAnsi="Arial"/>
                <w:color w:val="6B7280"/>
                <w:sz w:val="18"/>
                <w:szCs w:val="18"/>
              </w:rPr>
              <w:t xml:space="preserve">   |   </w:t>
            </w:r>
            <w:r>
              <w:rPr>
                <w:rFonts w:ascii="Arial" w:cs="Arial" w:eastAsia="Arial" w:hAnsi="Arial"/>
                <w:b/>
                <w:bCs/>
                <w:color w:val="0D1B3E"/>
                <w:sz w:val="26"/>
                <w:szCs w:val="26"/>
              </w:rPr>
              <w:t xml:space="preserve">Client &amp; Presentation Layer</w:t>
            </w:r>
          </w:p>
          <w:p>
            <w:pPr>
              <w:spacing w:after="100" w:before="0"/>
            </w:pPr>
            <w:r>
              <w:rPr>
                <w:rFonts w:ascii="Arial" w:cs="Arial" w:eastAsia="Arial" w:hAnsi="Arial"/>
                <w:i/>
                <w:iCs/>
                <w:color w:val="374151"/>
                <w:sz w:val="20"/>
                <w:szCs w:val="20"/>
              </w:rPr>
              <w:t xml:space="preserve">Everything the user touches — mobile apps, web app, and native device integrations. Responsible for rendering, local state, biometric flows, and offline resilience.</w:t>
            </w:r>
          </w:p>
          <w:p>
            <w:pPr>
              <w:spacing w:after="30" w:before="30"/>
              <w:ind w:left="160"/>
            </w:pPr>
            <w:r>
              <w:rPr>
                <w:rFonts w:ascii="Arial" w:cs="Arial" w:eastAsia="Arial" w:hAnsi="Arial"/>
                <w:b/>
                <w:bCs/>
                <w:color w:val="1D4ED8"/>
                <w:sz w:val="20"/>
                <w:szCs w:val="20"/>
              </w:rPr>
              <w:t xml:space="preserve">▸  </w:t>
            </w:r>
            <w:r>
              <w:rPr>
                <w:rFonts w:ascii="Arial" w:cs="Arial" w:eastAsia="Arial" w:hAnsi="Arial"/>
                <w:color w:val="374151"/>
                <w:sz w:val="20"/>
                <w:szCs w:val="20"/>
              </w:rPr>
              <w:t xml:space="preserve">iOS App (React Native) — biometrics via Expo SecureStore / iOS Keychain; background sync via BGTaskScheduler</w:t>
            </w:r>
          </w:p>
          <w:p>
            <w:pPr>
              <w:spacing w:after="30" w:before="30"/>
              <w:ind w:left="160"/>
            </w:pPr>
            <w:r>
              <w:rPr>
                <w:rFonts w:ascii="Arial" w:cs="Arial" w:eastAsia="Arial" w:hAnsi="Arial"/>
                <w:b/>
                <w:bCs/>
                <w:color w:val="1D4ED8"/>
                <w:sz w:val="20"/>
                <w:szCs w:val="20"/>
              </w:rPr>
              <w:t xml:space="preserve">▸  </w:t>
            </w:r>
            <w:r>
              <w:rPr>
                <w:rFonts w:ascii="Arial" w:cs="Arial" w:eastAsia="Arial" w:hAnsi="Arial"/>
                <w:color w:val="374151"/>
                <w:sz w:val="20"/>
                <w:szCs w:val="20"/>
              </w:rPr>
              <w:t xml:space="preserve">Android App (React Native) — biometrics via Android Keystore; background sync via WorkManager</w:t>
            </w:r>
          </w:p>
          <w:p>
            <w:pPr>
              <w:spacing w:after="30" w:before="30"/>
              <w:ind w:left="160"/>
            </w:pPr>
            <w:r>
              <w:rPr>
                <w:rFonts w:ascii="Arial" w:cs="Arial" w:eastAsia="Arial" w:hAnsi="Arial"/>
                <w:b/>
                <w:bCs/>
                <w:color w:val="1D4ED8"/>
                <w:sz w:val="20"/>
                <w:szCs w:val="20"/>
              </w:rPr>
              <w:t xml:space="preserve">▸  </w:t>
            </w:r>
            <w:r>
              <w:rPr>
                <w:rFonts w:ascii="Arial" w:cs="Arial" w:eastAsia="Arial" w:hAnsi="Arial"/>
                <w:color w:val="374151"/>
                <w:sz w:val="20"/>
                <w:szCs w:val="20"/>
              </w:rPr>
              <w:t xml:space="preserve">Web App (React + Next.js) — SSR for fast first paint; code-split by route; CDN-served static assets</w:t>
            </w:r>
          </w:p>
          <w:p>
            <w:pPr>
              <w:spacing w:after="30" w:before="30"/>
              <w:ind w:left="160"/>
            </w:pPr>
            <w:r>
              <w:rPr>
                <w:rFonts w:ascii="Arial" w:cs="Arial" w:eastAsia="Arial" w:hAnsi="Arial"/>
                <w:b/>
                <w:bCs/>
                <w:color w:val="1D4ED8"/>
                <w:sz w:val="20"/>
                <w:szCs w:val="20"/>
              </w:rPr>
              <w:t xml:space="preserve">▸  </w:t>
            </w:r>
            <w:r>
              <w:rPr>
                <w:rFonts w:ascii="Arial" w:cs="Arial" w:eastAsia="Arial" w:hAnsi="Arial"/>
                <w:color w:val="374151"/>
                <w:sz w:val="20"/>
                <w:szCs w:val="20"/>
              </w:rPr>
              <w:t xml:space="preserve">Local SQLite cache — transactions, balances, and upcoming bills available offline with stale-data indicators</w:t>
            </w:r>
          </w:p>
          <w:p>
            <w:pPr>
              <w:spacing w:after="30" w:before="30"/>
              <w:ind w:left="160"/>
            </w:pPr>
            <w:r>
              <w:rPr>
                <w:rFonts w:ascii="Arial" w:cs="Arial" w:eastAsia="Arial" w:hAnsi="Arial"/>
                <w:b/>
                <w:bCs/>
                <w:color w:val="1D4ED8"/>
                <w:sz w:val="20"/>
                <w:szCs w:val="20"/>
              </w:rPr>
              <w:t xml:space="preserve">▸  </w:t>
            </w:r>
            <w:r>
              <w:rPr>
                <w:rFonts w:ascii="Arial" w:cs="Arial" w:eastAsia="Arial" w:hAnsi="Arial"/>
                <w:color w:val="374151"/>
                <w:sz w:val="20"/>
                <w:szCs w:val="20"/>
              </w:rPr>
              <w:t xml:space="preserve">Apple Watch / Home Screen Widget — glanceable Safe to Spend via WidgetKit / ClockKit</w:t>
            </w:r>
          </w:p>
          <w:p>
            <w:pPr>
              <w:spacing w:after="30" w:before="30"/>
              <w:ind w:left="160"/>
            </w:pPr>
            <w:r>
              <w:rPr>
                <w:rFonts w:ascii="Arial" w:cs="Arial" w:eastAsia="Arial" w:hAnsi="Arial"/>
                <w:b/>
                <w:bCs/>
                <w:color w:val="1D4ED8"/>
                <w:sz w:val="20"/>
                <w:szCs w:val="20"/>
              </w:rPr>
              <w:t xml:space="preserve">▸  </w:t>
            </w:r>
            <w:r>
              <w:rPr>
                <w:rFonts w:ascii="Arial" w:cs="Arial" w:eastAsia="Arial" w:hAnsi="Arial"/>
                <w:color w:val="374151"/>
                <w:sz w:val="20"/>
                <w:szCs w:val="20"/>
              </w:rPr>
              <w:t xml:space="preserve">Push notification client — APNs (iOS), FCM (Android), Web Push API</w:t>
            </w:r>
          </w:p>
          <w:p>
            <w:pPr>
              <w:spacing w:after="30" w:before="30"/>
              <w:ind w:left="160"/>
            </w:pPr>
            <w:r>
              <w:rPr>
                <w:rFonts w:ascii="Arial" w:cs="Arial" w:eastAsia="Arial" w:hAnsi="Arial"/>
                <w:b/>
                <w:bCs/>
                <w:color w:val="1D4ED8"/>
                <w:sz w:val="20"/>
                <w:szCs w:val="20"/>
              </w:rPr>
              <w:t xml:space="preserve">▸  </w:t>
            </w:r>
            <w:r>
              <w:rPr>
                <w:rFonts w:ascii="Arial" w:cs="Arial" w:eastAsia="Arial" w:hAnsi="Arial"/>
                <w:color w:val="374151"/>
                <w:sz w:val="20"/>
                <w:szCs w:val="20"/>
              </w:rPr>
              <w:t xml:space="preserve">On-device NLP pre-filter — classifies email relevance locally before any data leaves the device (privacy layer)</w:t>
            </w:r>
          </w:p>
        </w:tc>
      </w:tr>
    </w:tbl>
    <w:p>
      <w:pPr>
        <w:spacing w:after="14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6D28D9" w:sz="24"/>
              <w:bottom w:val="none"/>
              <w:right w:val="none"/>
            </w:tcBorders>
            <w:shd w:fill="F5F3FF" w:val="clear"/>
            <w:tcMar>
              <w:top w:type="dxa" w:w="140"/>
              <w:left w:type="dxa" w:w="200"/>
              <w:bottom w:type="dxa" w:w="140"/>
              <w:right w:type="dxa" w:w="180"/>
            </w:tcMar>
          </w:tcPr>
          <w:p>
            <w:pPr>
              <w:spacing w:after="80" w:before="0"/>
            </w:pPr>
            <w:r>
              <w:rPr>
                <w:rFonts w:ascii="Arial" w:cs="Arial" w:eastAsia="Arial" w:hAnsi="Arial"/>
                <w:b/>
                <w:bCs/>
                <w:color w:val="6D28D9"/>
                <w:sz w:val="18"/>
                <w:szCs w:val="18"/>
              </w:rPr>
              <w:t xml:space="preserve">TIER 2</w:t>
            </w:r>
            <w:r>
              <w:rPr>
                <w:rFonts w:ascii="Arial" w:cs="Arial" w:eastAsia="Arial" w:hAnsi="Arial"/>
                <w:color w:val="6B7280"/>
                <w:sz w:val="18"/>
                <w:szCs w:val="18"/>
              </w:rPr>
              <w:t xml:space="preserve">   |   </w:t>
            </w:r>
            <w:r>
              <w:rPr>
                <w:rFonts w:ascii="Arial" w:cs="Arial" w:eastAsia="Arial" w:hAnsi="Arial"/>
                <w:b/>
                <w:bCs/>
                <w:color w:val="0D1B3E"/>
                <w:sz w:val="26"/>
                <w:szCs w:val="26"/>
              </w:rPr>
              <w:t xml:space="preserve">API Gateway &amp; Edge Services Layer</w:t>
            </w:r>
          </w:p>
          <w:p>
            <w:pPr>
              <w:spacing w:after="100" w:before="0"/>
            </w:pPr>
            <w:r>
              <w:rPr>
                <w:rFonts w:ascii="Arial" w:cs="Arial" w:eastAsia="Arial" w:hAnsi="Arial"/>
                <w:i/>
                <w:iCs/>
                <w:color w:val="374151"/>
                <w:sz w:val="20"/>
                <w:szCs w:val="20"/>
              </w:rPr>
              <w:t xml:space="preserve">The single entry point for all client traffic. Handles auth enforcement, routing, throttling, request shaping, and cross-cutting concerns before any business logic executes.</w:t>
            </w:r>
          </w:p>
          <w:p>
            <w:pPr>
              <w:spacing w:after="30" w:before="30"/>
              <w:ind w:left="160"/>
            </w:pPr>
            <w:r>
              <w:rPr>
                <w:rFonts w:ascii="Arial" w:cs="Arial" w:eastAsia="Arial" w:hAnsi="Arial"/>
                <w:b/>
                <w:bCs/>
                <w:color w:val="6D28D9"/>
                <w:sz w:val="20"/>
                <w:szCs w:val="20"/>
              </w:rPr>
              <w:t xml:space="preserve">▸  </w:t>
            </w:r>
            <w:r>
              <w:rPr>
                <w:rFonts w:ascii="Arial" w:cs="Arial" w:eastAsia="Arial" w:hAnsi="Arial"/>
                <w:color w:val="374151"/>
                <w:sz w:val="20"/>
                <w:szCs w:val="20"/>
              </w:rPr>
              <w:t xml:space="preserve">GraphQL API Gateway (Apollo Federation) — unified schema; field-level auth; N+1 prevention via DataLoader</w:t>
            </w:r>
          </w:p>
          <w:p>
            <w:pPr>
              <w:spacing w:after="30" w:before="30"/>
              <w:ind w:left="160"/>
            </w:pPr>
            <w:r>
              <w:rPr>
                <w:rFonts w:ascii="Arial" w:cs="Arial" w:eastAsia="Arial" w:hAnsi="Arial"/>
                <w:b/>
                <w:bCs/>
                <w:color w:val="6D28D9"/>
                <w:sz w:val="20"/>
                <w:szCs w:val="20"/>
              </w:rPr>
              <w:t xml:space="preserve">▸  </w:t>
            </w:r>
            <w:r>
              <w:rPr>
                <w:rFonts w:ascii="Arial" w:cs="Arial" w:eastAsia="Arial" w:hAnsi="Arial"/>
                <w:color w:val="374151"/>
                <w:sz w:val="20"/>
                <w:szCs w:val="20"/>
              </w:rPr>
              <w:t xml:space="preserve">REST fallback gateway (AWS API Gateway) — legacy mobile support and third-party webhook ingest</w:t>
            </w:r>
          </w:p>
          <w:p>
            <w:pPr>
              <w:spacing w:after="30" w:before="30"/>
              <w:ind w:left="160"/>
            </w:pPr>
            <w:r>
              <w:rPr>
                <w:rFonts w:ascii="Arial" w:cs="Arial" w:eastAsia="Arial" w:hAnsi="Arial"/>
                <w:b/>
                <w:bCs/>
                <w:color w:val="6D28D9"/>
                <w:sz w:val="20"/>
                <w:szCs w:val="20"/>
              </w:rPr>
              <w:t xml:space="preserve">▸  </w:t>
            </w:r>
            <w:r>
              <w:rPr>
                <w:rFonts w:ascii="Arial" w:cs="Arial" w:eastAsia="Arial" w:hAnsi="Arial"/>
                <w:color w:val="374151"/>
                <w:sz w:val="20"/>
                <w:szCs w:val="20"/>
              </w:rPr>
              <w:t xml:space="preserve">Auth Service (OAuth 2.0 / OIDC) — JWT issuance; refresh token rotation on every use; MFA enforcement</w:t>
            </w:r>
          </w:p>
          <w:p>
            <w:pPr>
              <w:spacing w:after="30" w:before="30"/>
              <w:ind w:left="160"/>
            </w:pPr>
            <w:r>
              <w:rPr>
                <w:rFonts w:ascii="Arial" w:cs="Arial" w:eastAsia="Arial" w:hAnsi="Arial"/>
                <w:b/>
                <w:bCs/>
                <w:color w:val="6D28D9"/>
                <w:sz w:val="20"/>
                <w:szCs w:val="20"/>
              </w:rPr>
              <w:t xml:space="preserve">▸  </w:t>
            </w:r>
            <w:r>
              <w:rPr>
                <w:rFonts w:ascii="Arial" w:cs="Arial" w:eastAsia="Arial" w:hAnsi="Arial"/>
                <w:color w:val="374151"/>
                <w:sz w:val="20"/>
                <w:szCs w:val="20"/>
              </w:rPr>
              <w:t xml:space="preserve">Rate Limiter — per-user token bucket (Redis-backed): 100 req/min free tier, 500 req/min premium</w:t>
            </w:r>
          </w:p>
          <w:p>
            <w:pPr>
              <w:spacing w:after="30" w:before="30"/>
              <w:ind w:left="160"/>
            </w:pPr>
            <w:r>
              <w:rPr>
                <w:rFonts w:ascii="Arial" w:cs="Arial" w:eastAsia="Arial" w:hAnsi="Arial"/>
                <w:b/>
                <w:bCs/>
                <w:color w:val="6D28D9"/>
                <w:sz w:val="20"/>
                <w:szCs w:val="20"/>
              </w:rPr>
              <w:t xml:space="preserve">▸  </w:t>
            </w:r>
            <w:r>
              <w:rPr>
                <w:rFonts w:ascii="Arial" w:cs="Arial" w:eastAsia="Arial" w:hAnsi="Arial"/>
                <w:color w:val="374151"/>
                <w:sz w:val="20"/>
                <w:szCs w:val="20"/>
              </w:rPr>
              <w:t xml:space="preserve">WAF (AWS WAF) — OWASP Top 10 managed rules; geo-blocking; bot detection; DDoS mitigation</w:t>
            </w:r>
          </w:p>
          <w:p>
            <w:pPr>
              <w:spacing w:after="30" w:before="30"/>
              <w:ind w:left="160"/>
            </w:pPr>
            <w:r>
              <w:rPr>
                <w:rFonts w:ascii="Arial" w:cs="Arial" w:eastAsia="Arial" w:hAnsi="Arial"/>
                <w:b/>
                <w:bCs/>
                <w:color w:val="6D28D9"/>
                <w:sz w:val="20"/>
                <w:szCs w:val="20"/>
              </w:rPr>
              <w:t xml:space="preserve">▸  </w:t>
            </w:r>
            <w:r>
              <w:rPr>
                <w:rFonts w:ascii="Arial" w:cs="Arial" w:eastAsia="Arial" w:hAnsi="Arial"/>
                <w:color w:val="374151"/>
                <w:sz w:val="20"/>
                <w:szCs w:val="20"/>
              </w:rPr>
              <w:t xml:space="preserve">CDN (CloudFront) — global edge cache for static assets and cacheable API responses; ~40ms global p50</w:t>
            </w:r>
          </w:p>
          <w:p>
            <w:pPr>
              <w:spacing w:after="30" w:before="30"/>
              <w:ind w:left="160"/>
            </w:pPr>
            <w:r>
              <w:rPr>
                <w:rFonts w:ascii="Arial" w:cs="Arial" w:eastAsia="Arial" w:hAnsi="Arial"/>
                <w:b/>
                <w:bCs/>
                <w:color w:val="6D28D9"/>
                <w:sz w:val="20"/>
                <w:szCs w:val="20"/>
              </w:rPr>
              <w:t xml:space="preserve">▸  </w:t>
            </w:r>
            <w:r>
              <w:rPr>
                <w:rFonts w:ascii="Arial" w:cs="Arial" w:eastAsia="Arial" w:hAnsi="Arial"/>
                <w:color w:val="374151"/>
                <w:sz w:val="20"/>
                <w:szCs w:val="20"/>
              </w:rPr>
              <w:t xml:space="preserve">Request router — blue/green and canary routing for zero-downtime deployments</w:t>
            </w:r>
          </w:p>
          <w:p>
            <w:pPr>
              <w:spacing w:after="30" w:before="30"/>
              <w:ind w:left="160"/>
            </w:pPr>
            <w:r>
              <w:rPr>
                <w:rFonts w:ascii="Arial" w:cs="Arial" w:eastAsia="Arial" w:hAnsi="Arial"/>
                <w:b/>
                <w:bCs/>
                <w:color w:val="6D28D9"/>
                <w:sz w:val="20"/>
                <w:szCs w:val="20"/>
              </w:rPr>
              <w:t xml:space="preserve">▸  </w:t>
            </w:r>
            <w:r>
              <w:rPr>
                <w:rFonts w:ascii="Arial" w:cs="Arial" w:eastAsia="Arial" w:hAnsi="Arial"/>
                <w:color w:val="374151"/>
                <w:sz w:val="20"/>
                <w:szCs w:val="20"/>
              </w:rPr>
              <w:t xml:space="preserve">Webhook receiver — inbound Plaid/MX/Gmail webhooks validated and queued to SQS for async processing</w:t>
            </w:r>
          </w:p>
        </w:tc>
      </w:tr>
    </w:tbl>
    <w:p>
      <w:pPr>
        <w:spacing w:after="14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007A6E" w:sz="24"/>
              <w:bottom w:val="none"/>
              <w:right w:val="none"/>
            </w:tcBorders>
            <w:shd w:fill="E6F4F2" w:val="clear"/>
            <w:tcMar>
              <w:top w:type="dxa" w:w="140"/>
              <w:left w:type="dxa" w:w="200"/>
              <w:bottom w:type="dxa" w:w="140"/>
              <w:right w:type="dxa" w:w="180"/>
            </w:tcMar>
          </w:tcPr>
          <w:p>
            <w:pPr>
              <w:spacing w:after="80" w:before="0"/>
            </w:pPr>
            <w:r>
              <w:rPr>
                <w:rFonts w:ascii="Arial" w:cs="Arial" w:eastAsia="Arial" w:hAnsi="Arial"/>
                <w:b/>
                <w:bCs/>
                <w:color w:val="007A6E"/>
                <w:sz w:val="18"/>
                <w:szCs w:val="18"/>
              </w:rPr>
              <w:t xml:space="preserve">TIER 3</w:t>
            </w:r>
            <w:r>
              <w:rPr>
                <w:rFonts w:ascii="Arial" w:cs="Arial" w:eastAsia="Arial" w:hAnsi="Arial"/>
                <w:color w:val="6B7280"/>
                <w:sz w:val="18"/>
                <w:szCs w:val="18"/>
              </w:rPr>
              <w:t xml:space="preserve">   |   </w:t>
            </w:r>
            <w:r>
              <w:rPr>
                <w:rFonts w:ascii="Arial" w:cs="Arial" w:eastAsia="Arial" w:hAnsi="Arial"/>
                <w:b/>
                <w:bCs/>
                <w:color w:val="0D1B3E"/>
                <w:sz w:val="26"/>
                <w:szCs w:val="26"/>
              </w:rPr>
              <w:t xml:space="preserve">Business Logic &amp; Microservices Layer</w:t>
            </w:r>
          </w:p>
          <w:p>
            <w:pPr>
              <w:spacing w:after="100" w:before="0"/>
            </w:pPr>
            <w:r>
              <w:rPr>
                <w:rFonts w:ascii="Arial" w:cs="Arial" w:eastAsia="Arial" w:hAnsi="Arial"/>
                <w:i/>
                <w:iCs/>
                <w:color w:val="374151"/>
                <w:sz w:val="20"/>
                <w:szCs w:val="20"/>
              </w:rPr>
              <w:t xml:space="preserve">The intelligence core of FinFlow. Nine independently deployable services, each owning its domain, communicating via async events (SQS/SNS) and synchronous gRPC where latency is critical.</w:t>
            </w:r>
          </w:p>
          <w:p>
            <w:pPr>
              <w:spacing w:after="30" w:before="30"/>
              <w:ind w:left="16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Account Aggregation Service — Plaid/MX/Finicity integration; OAuth token lifecycle management; real-time webhook processing</w:t>
            </w:r>
          </w:p>
          <w:p>
            <w:pPr>
              <w:spacing w:after="30" w:before="30"/>
              <w:ind w:left="16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Transaction Processor — ingest, dedup (Redis bloom filter), normalize merchant names, ML categorize, publish events</w:t>
            </w:r>
          </w:p>
          <w:p>
            <w:pPr>
              <w:spacing w:after="30" w:before="30"/>
              <w:ind w:left="16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Email Intelligence Service — Gmail/Outlook OAuth; on-device pre-filter result processing; server-side NLP extraction pipeline</w:t>
            </w:r>
          </w:p>
          <w:p>
            <w:pPr>
              <w:spacing w:after="30" w:before="30"/>
              <w:ind w:left="16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Cashflow Engine — projection model combining actuals, scheduled, and predicted variable spend; 30/60/90-day confidence bands</w:t>
            </w:r>
          </w:p>
          <w:p>
            <w:pPr>
              <w:spacing w:after="30" w:before="30"/>
              <w:ind w:left="16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Prompt Engine — rule + ML hybrid; per-user ranked prompt queue; delivery channel routing; A/B test infrastructure</w:t>
            </w:r>
          </w:p>
          <w:p>
            <w:pPr>
              <w:spacing w:after="30" w:before="30"/>
              <w:ind w:left="16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Investment Service — brokerage holdings sync; EOD pricing; performance calculations; net worth roll-up</w:t>
            </w:r>
          </w:p>
          <w:p>
            <w:pPr>
              <w:spacing w:after="30" w:before="30"/>
              <w:ind w:left="16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Notification Service — FCM/APNs/SendGrid delivery; deduplication; throttle enforcement (max 2 push/day default)</w:t>
            </w:r>
          </w:p>
          <w:p>
            <w:pPr>
              <w:spacing w:after="30" w:before="30"/>
              <w:ind w:left="16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Subscription &amp; Billing Service — Stripe integration; plan state management; feature flag enforcement per entitlement</w:t>
            </w:r>
          </w:p>
          <w:p>
            <w:pPr>
              <w:spacing w:after="30" w:before="30"/>
              <w:ind w:left="16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ML Platform (SageMaker) — categorization model serving; prompt ranking; anomaly detection; weekly continuous retraining</w:t>
            </w:r>
          </w:p>
        </w:tc>
      </w:tr>
    </w:tbl>
    <w:p>
      <w:pPr>
        <w:spacing w:after="14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C2410C" w:sz="24"/>
              <w:bottom w:val="none"/>
              <w:right w:val="none"/>
            </w:tcBorders>
            <w:shd w:fill="FFF7ED" w:val="clear"/>
            <w:tcMar>
              <w:top w:type="dxa" w:w="140"/>
              <w:left w:type="dxa" w:w="200"/>
              <w:bottom w:type="dxa" w:w="140"/>
              <w:right w:type="dxa" w:w="180"/>
            </w:tcMar>
          </w:tcPr>
          <w:p>
            <w:pPr>
              <w:spacing w:after="80" w:before="0"/>
            </w:pPr>
            <w:r>
              <w:rPr>
                <w:rFonts w:ascii="Arial" w:cs="Arial" w:eastAsia="Arial" w:hAnsi="Arial"/>
                <w:b/>
                <w:bCs/>
                <w:color w:val="C2410C"/>
                <w:sz w:val="18"/>
                <w:szCs w:val="18"/>
              </w:rPr>
              <w:t xml:space="preserve">TIER 4</w:t>
            </w:r>
            <w:r>
              <w:rPr>
                <w:rFonts w:ascii="Arial" w:cs="Arial" w:eastAsia="Arial" w:hAnsi="Arial"/>
                <w:color w:val="6B7280"/>
                <w:sz w:val="18"/>
                <w:szCs w:val="18"/>
              </w:rPr>
              <w:t xml:space="preserve">   |   </w:t>
            </w:r>
            <w:r>
              <w:rPr>
                <w:rFonts w:ascii="Arial" w:cs="Arial" w:eastAsia="Arial" w:hAnsi="Arial"/>
                <w:b/>
                <w:bCs/>
                <w:color w:val="0D1B3E"/>
                <w:sz w:val="26"/>
                <w:szCs w:val="26"/>
              </w:rPr>
              <w:t xml:space="preserve">Data &amp; Persistence Layer</w:t>
            </w:r>
          </w:p>
          <w:p>
            <w:pPr>
              <w:spacing w:after="100" w:before="0"/>
            </w:pPr>
            <w:r>
              <w:rPr>
                <w:rFonts w:ascii="Arial" w:cs="Arial" w:eastAsia="Arial" w:hAnsi="Arial"/>
                <w:i/>
                <w:iCs/>
                <w:color w:val="374151"/>
                <w:sz w:val="20"/>
                <w:szCs w:val="20"/>
              </w:rPr>
              <w:t xml:space="preserve">Polyglot persistence optimized for each data access pattern. Strict data ownership: each microservice has its own schema. Cross-service queries go through service APIs — never direct DB access.</w:t>
            </w:r>
          </w:p>
          <w:p>
            <w:pPr>
              <w:spacing w:after="30" w:before="30"/>
              <w:ind w:left="160"/>
            </w:pPr>
            <w:r>
              <w:rPr>
                <w:rFonts w:ascii="Arial" w:cs="Arial" w:eastAsia="Arial" w:hAnsi="Arial"/>
                <w:b/>
                <w:bCs/>
                <w:color w:val="C2410C"/>
                <w:sz w:val="20"/>
                <w:szCs w:val="20"/>
              </w:rPr>
              <w:t xml:space="preserve">▸  </w:t>
            </w:r>
            <w:r>
              <w:rPr>
                <w:rFonts w:ascii="Arial" w:cs="Arial" w:eastAsia="Arial" w:hAnsi="Arial"/>
                <w:color w:val="374151"/>
                <w:sz w:val="20"/>
                <w:szCs w:val="20"/>
              </w:rPr>
              <w:t xml:space="preserve">PostgreSQL (Aurora Serverless v2) — primary OLTP: users, accounts, transactions, categorizations; sharded by user_id</w:t>
            </w:r>
          </w:p>
          <w:p>
            <w:pPr>
              <w:spacing w:after="30" w:before="30"/>
              <w:ind w:left="160"/>
            </w:pPr>
            <w:r>
              <w:rPr>
                <w:rFonts w:ascii="Arial" w:cs="Arial" w:eastAsia="Arial" w:hAnsi="Arial"/>
                <w:b/>
                <w:bCs/>
                <w:color w:val="C2410C"/>
                <w:sz w:val="20"/>
                <w:szCs w:val="20"/>
              </w:rPr>
              <w:t xml:space="preserve">▸  </w:t>
            </w:r>
            <w:r>
              <w:rPr>
                <w:rFonts w:ascii="Arial" w:cs="Arial" w:eastAsia="Arial" w:hAnsi="Arial"/>
                <w:color w:val="374151"/>
                <w:sz w:val="20"/>
                <w:szCs w:val="20"/>
              </w:rPr>
              <w:t xml:space="preserve">Redis Cluster (ElastiCache) — real-time balance cache (&lt;1ms reads); session store; rate limiter state; bloom filter for dedup</w:t>
            </w:r>
          </w:p>
          <w:p>
            <w:pPr>
              <w:spacing w:after="30" w:before="30"/>
              <w:ind w:left="160"/>
            </w:pPr>
            <w:r>
              <w:rPr>
                <w:rFonts w:ascii="Arial" w:cs="Arial" w:eastAsia="Arial" w:hAnsi="Arial"/>
                <w:b/>
                <w:bCs/>
                <w:color w:val="C2410C"/>
                <w:sz w:val="20"/>
                <w:szCs w:val="20"/>
              </w:rPr>
              <w:t xml:space="preserve">▸  </w:t>
            </w:r>
            <w:r>
              <w:rPr>
                <w:rFonts w:ascii="Arial" w:cs="Arial" w:eastAsia="Arial" w:hAnsi="Arial"/>
                <w:color w:val="374151"/>
                <w:sz w:val="20"/>
                <w:szCs w:val="20"/>
              </w:rPr>
              <w:t xml:space="preserve">Amazon S3 + Glacier — raw event archive; ML training data; email metadata extracts; tax documents; 90-day lifecycle to Glacier</w:t>
            </w:r>
          </w:p>
          <w:p>
            <w:pPr>
              <w:spacing w:after="30" w:before="30"/>
              <w:ind w:left="160"/>
            </w:pPr>
            <w:r>
              <w:rPr>
                <w:rFonts w:ascii="Arial" w:cs="Arial" w:eastAsia="Arial" w:hAnsi="Arial"/>
                <w:b/>
                <w:bCs/>
                <w:color w:val="C2410C"/>
                <w:sz w:val="20"/>
                <w:szCs w:val="20"/>
              </w:rPr>
              <w:t xml:space="preserve">▸  </w:t>
            </w:r>
            <w:r>
              <w:rPr>
                <w:rFonts w:ascii="Arial" w:cs="Arial" w:eastAsia="Arial" w:hAnsi="Arial"/>
                <w:color w:val="374151"/>
                <w:sz w:val="20"/>
                <w:szCs w:val="20"/>
              </w:rPr>
              <w:t xml:space="preserve">Amazon DynamoDB — notification history; prompt delivery log; device token registry; high-throughput KV access</w:t>
            </w:r>
          </w:p>
          <w:p>
            <w:pPr>
              <w:spacing w:after="30" w:before="30"/>
              <w:ind w:left="160"/>
            </w:pPr>
            <w:r>
              <w:rPr>
                <w:rFonts w:ascii="Arial" w:cs="Arial" w:eastAsia="Arial" w:hAnsi="Arial"/>
                <w:b/>
                <w:bCs/>
                <w:color w:val="C2410C"/>
                <w:sz w:val="20"/>
                <w:szCs w:val="20"/>
              </w:rPr>
              <w:t xml:space="preserve">▸  </w:t>
            </w:r>
            <w:r>
              <w:rPr>
                <w:rFonts w:ascii="Arial" w:cs="Arial" w:eastAsia="Arial" w:hAnsi="Arial"/>
                <w:color w:val="374151"/>
                <w:sz w:val="20"/>
                <w:szCs w:val="20"/>
              </w:rPr>
              <w:t xml:space="preserve">Amazon SQS / SNS — async inter-service messaging; webhook ingest queues; event fan-out to multiple consumers</w:t>
            </w:r>
          </w:p>
          <w:p>
            <w:pPr>
              <w:spacing w:after="30" w:before="30"/>
              <w:ind w:left="160"/>
            </w:pPr>
            <w:r>
              <w:rPr>
                <w:rFonts w:ascii="Arial" w:cs="Arial" w:eastAsia="Arial" w:hAnsi="Arial"/>
                <w:b/>
                <w:bCs/>
                <w:color w:val="C2410C"/>
                <w:sz w:val="20"/>
                <w:szCs w:val="20"/>
              </w:rPr>
              <w:t xml:space="preserve">▸  </w:t>
            </w:r>
            <w:r>
              <w:rPr>
                <w:rFonts w:ascii="Arial" w:cs="Arial" w:eastAsia="Arial" w:hAnsi="Arial"/>
                <w:color w:val="374151"/>
                <w:sz w:val="20"/>
                <w:szCs w:val="20"/>
              </w:rPr>
              <w:t xml:space="preserve">Amazon Kinesis — real-time transaction event stream for ML feature pipeline and anomaly detection</w:t>
            </w:r>
          </w:p>
          <w:p>
            <w:pPr>
              <w:spacing w:after="30" w:before="30"/>
              <w:ind w:left="160"/>
            </w:pPr>
            <w:r>
              <w:rPr>
                <w:rFonts w:ascii="Arial" w:cs="Arial" w:eastAsia="Arial" w:hAnsi="Arial"/>
                <w:b/>
                <w:bCs/>
                <w:color w:val="C2410C"/>
                <w:sz w:val="20"/>
                <w:szCs w:val="20"/>
              </w:rPr>
              <w:t xml:space="preserve">▸  </w:t>
            </w:r>
            <w:r>
              <w:rPr>
                <w:rFonts w:ascii="Arial" w:cs="Arial" w:eastAsia="Arial" w:hAnsi="Arial"/>
                <w:color w:val="374151"/>
                <w:sz w:val="20"/>
                <w:szCs w:val="20"/>
              </w:rPr>
              <w:t xml:space="preserve">Amazon SageMaker Feature Store — ML features for categorization and anomaly models; online + offline store</w:t>
            </w:r>
          </w:p>
          <w:p>
            <w:pPr>
              <w:spacing w:after="30" w:before="30"/>
              <w:ind w:left="160"/>
            </w:pPr>
            <w:r>
              <w:rPr>
                <w:rFonts w:ascii="Arial" w:cs="Arial" w:eastAsia="Arial" w:hAnsi="Arial"/>
                <w:b/>
                <w:bCs/>
                <w:color w:val="C2410C"/>
                <w:sz w:val="20"/>
                <w:szCs w:val="20"/>
              </w:rPr>
              <w:t xml:space="preserve">▸  </w:t>
            </w:r>
            <w:r>
              <w:rPr>
                <w:rFonts w:ascii="Arial" w:cs="Arial" w:eastAsia="Arial" w:hAnsi="Arial"/>
                <w:color w:val="374151"/>
                <w:sz w:val="20"/>
                <w:szCs w:val="20"/>
              </w:rPr>
              <w:t xml:space="preserve">AWS KMS — encryption key management; per-user data keys; automatic annual rotation; audit trail via CloudTrail</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9440"/>
      </w:tblGrid>
      <w:tr>
        <w:tc>
          <w:tcPr>
            <w:tcW w:type="dxa" w:w="640"/>
            <w:tcBorders>
              <w:top w:val="none"/>
              <w:left w:val="none"/>
              <w:bottom w:val="none"/>
              <w:right w:val="none"/>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03</w:t>
            </w:r>
          </w:p>
        </w:tc>
        <w:tc>
          <w:tcPr>
            <w:tcW w:type="dxa" w:w="9440"/>
            <w:tcBorders>
              <w:top w:val="none"/>
              <w:left w:val="none"/>
              <w:bottom w:val="single" w:color="007A6E" w:sz="3"/>
              <w:right w:val="none"/>
            </w:tcBorders>
            <w:shd w:fill="E6F4F2" w:val="clear"/>
            <w:tcMar>
              <w:top w:type="dxa" w:w="100"/>
              <w:left w:type="dxa" w:w="200"/>
              <w:bottom w:type="dxa" w:w="100"/>
              <w:right w:type="dxa" w:w="160"/>
            </w:tcMar>
            <w:vAlign w:val="center"/>
          </w:tcPr>
          <w:p>
            <w:pPr>
              <w:spacing w:after="30" w:before="0"/>
            </w:pPr>
            <w:r>
              <w:rPr>
                <w:rFonts w:ascii="Arial" w:cs="Arial" w:eastAsia="Arial" w:hAnsi="Arial"/>
                <w:b/>
                <w:bCs/>
                <w:color w:val="0D1B3E"/>
                <w:sz w:val="30"/>
                <w:szCs w:val="30"/>
              </w:rPr>
              <w:t xml:space="preserve">Component Architecture Diagram</w:t>
            </w:r>
          </w:p>
          <w:p>
            <w:pPr>
              <w:spacing w:after="0" w:before="0"/>
            </w:pPr>
            <w:r>
              <w:rPr>
                <w:rFonts w:ascii="Arial" w:cs="Arial" w:eastAsia="Arial" w:hAnsi="Arial"/>
                <w:i/>
                <w:iCs/>
                <w:color w:val="007A6E"/>
                <w:sz w:val="18"/>
                <w:szCs w:val="18"/>
              </w:rPr>
              <w:t xml:space="preserve">System topology and inter-tier communication paths</w:t>
            </w:r>
          </w:p>
        </w:tc>
      </w:tr>
    </w:tbl>
    <w:p>
      <w:pPr>
        <w:spacing w:after="160" w:before="0"/>
      </w:pPr>
      <w:r>
        <w:rPr>
          <w:rFonts w:ascii="Arial" w:cs="Arial" w:eastAsia="Arial" w:hAnsi="Arial"/>
        </w:rPr>
        <w:t xml:space="preserve"/>
      </w:r>
    </w:p>
    <w:p>
      <w:pPr>
        <w:spacing w:after="100" w:before="0"/>
      </w:pPr>
      <w:r>
        <w:rPr>
          <w:rFonts w:ascii="Arial" w:cs="Arial" w:eastAsia="Arial" w:hAnsi="Arial"/>
          <w:b/>
          <w:bCs/>
          <w:i/>
          <w:iCs/>
          <w:color w:val="111827"/>
          <w:sz w:val="20"/>
          <w:szCs w:val="20"/>
        </w:rPr>
        <w:t xml:space="preserve">Figure 1 — FinFlow 4-Tier Architecture Topology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9E6" w:sz="1"/>
              <w:left w:val="single" w:color="D1D9E6" w:sz="1"/>
              <w:bottom w:val="single" w:color="D1D9E6" w:sz="1"/>
              <w:right w:val="single" w:color="D1D9E6" w:sz="1"/>
            </w:tcBorders>
            <w:shd w:fill="EFF6FF" w:val="clear"/>
            <w:tcMar>
              <w:top w:type="dxa" w:w="120"/>
              <w:left w:type="dxa" w:w="200"/>
              <w:bottom w:type="dxa" w:w="120"/>
              <w:right w:type="dxa" w:w="200"/>
            </w:tcMar>
          </w:tcPr>
          <w:p>
            <w:pPr>
              <w:spacing w:after="60" w:before="0"/>
            </w:pPr>
            <w:r>
              <w:rPr>
                <w:rFonts w:ascii="Arial" w:cs="Arial" w:eastAsia="Arial" w:hAnsi="Arial"/>
                <w:b/>
                <w:bCs/>
                <w:color w:val="1D4ED8"/>
                <w:sz w:val="18"/>
                <w:szCs w:val="18"/>
              </w:rPr>
              <w:t xml:space="preserve">TIER 1  ·  CLIENT LAYER</w:t>
            </w:r>
          </w:p>
          <w:p>
            <w:pPr>
              <w:spacing w:after="18" w:before="0"/>
            </w:pPr>
            <w:r>
              <w:rPr>
                <w:rFonts w:ascii="Courier New" w:cs="Courier New" w:eastAsia="Courier New" w:hAnsi="Courier New"/>
                <w:color w:val="374151"/>
                <w:sz w:val="17"/>
                <w:szCs w:val="17"/>
              </w:rPr>
              <w:t xml:space="preserve">  iOS (React Native)  |  Android (React Native)  |  Web (Next.js / SSR)  |  Watch Widget</w:t>
            </w:r>
          </w:p>
          <w:p>
            <w:pPr>
              <w:spacing w:after="18" w:before="0"/>
            </w:pPr>
            <w:r>
              <w:rPr>
                <w:rFonts w:ascii="Courier New" w:cs="Courier New" w:eastAsia="Courier New" w:hAnsi="Courier New"/>
                <w:color w:val="374151"/>
                <w:sz w:val="17"/>
                <w:szCs w:val="17"/>
              </w:rPr>
              <w:t xml:space="preserve">  Local SQLite Cache  |  On-Device NLP Email Filter   |  Push Client         |  Biometric Auth</w:t>
            </w:r>
          </w:p>
        </w:tc>
      </w:tr>
      <w:tr>
        <w:tc>
          <w:tcPr>
            <w:tcW w:type="dxa" w:w="10080"/>
            <w:tcBorders>
              <w:top w:val="none"/>
              <w:left w:val="none"/>
              <w:bottom w:val="none"/>
              <w:right w:val="none"/>
            </w:tcBorders>
            <w:shd w:fill="FFFFFF" w:val="clear"/>
            <w:tcMar>
              <w:top w:type="dxa" w:w="40"/>
              <w:left w:type="dxa" w:w="200"/>
              <w:bottom w:type="dxa" w:w="40"/>
              <w:right w:type="dxa" w:w="200"/>
            </w:tcMar>
          </w:tcPr>
          <w:p>
            <w:pPr>
              <w:jc w:val="center"/>
            </w:pPr>
            <w:r>
              <w:rPr>
                <w:rFonts w:ascii="Courier New" w:cs="Courier New" w:eastAsia="Courier New" w:hAnsi="Courier New"/>
                <w:color w:val="007A6E"/>
                <w:sz w:val="16"/>
                <w:szCs w:val="16"/>
              </w:rPr>
              <w:t xml:space="preserve">↕  HTTPS / WebSocket (TLS 1.3)  ↕</w:t>
            </w:r>
          </w:p>
        </w:tc>
      </w:tr>
      <w:tr>
        <w:tc>
          <w:tcPr>
            <w:tcW w:type="dxa" w:w="10080"/>
            <w:tcBorders>
              <w:top w:val="single" w:color="D1D9E6" w:sz="1"/>
              <w:left w:val="single" w:color="D1D9E6" w:sz="1"/>
              <w:bottom w:val="single" w:color="D1D9E6" w:sz="1"/>
              <w:right w:val="single" w:color="D1D9E6" w:sz="1"/>
            </w:tcBorders>
            <w:shd w:fill="F5F3FF" w:val="clear"/>
            <w:tcMar>
              <w:top w:type="dxa" w:w="120"/>
              <w:left w:type="dxa" w:w="200"/>
              <w:bottom w:type="dxa" w:w="120"/>
              <w:right w:type="dxa" w:w="200"/>
            </w:tcMar>
          </w:tcPr>
          <w:p>
            <w:pPr>
              <w:spacing w:after="60" w:before="0"/>
            </w:pPr>
            <w:r>
              <w:rPr>
                <w:rFonts w:ascii="Arial" w:cs="Arial" w:eastAsia="Arial" w:hAnsi="Arial"/>
                <w:b/>
                <w:bCs/>
                <w:color w:val="6D28D9"/>
                <w:sz w:val="18"/>
                <w:szCs w:val="18"/>
              </w:rPr>
              <w:t xml:space="preserve">TIER 2  ·  API GATEWAY &amp; EDGE SERVICES</w:t>
            </w:r>
          </w:p>
          <w:p>
            <w:pPr>
              <w:spacing w:after="18" w:before="0"/>
            </w:pPr>
            <w:r>
              <w:rPr>
                <w:rFonts w:ascii="Courier New" w:cs="Courier New" w:eastAsia="Courier New" w:hAnsi="Courier New"/>
                <w:color w:val="374151"/>
                <w:sz w:val="17"/>
                <w:szCs w:val="17"/>
              </w:rPr>
              <w:t xml:space="preserve">  GraphQL Gateway (Apollo Federation)  |  Auth Service (OAuth 2.0 / OIDC)  |  AWS API Gateway (REST)</w:t>
            </w:r>
          </w:p>
          <w:p>
            <w:pPr>
              <w:spacing w:after="18" w:before="0"/>
            </w:pPr>
            <w:r>
              <w:rPr>
                <w:rFonts w:ascii="Courier New" w:cs="Courier New" w:eastAsia="Courier New" w:hAnsi="Courier New"/>
                <w:color w:val="374151"/>
                <w:sz w:val="17"/>
                <w:szCs w:val="17"/>
              </w:rPr>
              <w:t xml:space="preserve">  Rate Limiter (Redis Token Bucket)   |  WAF (AWS WAF + Shield)           |  CDN (CloudFront)</w:t>
            </w:r>
          </w:p>
          <w:p>
            <w:pPr>
              <w:spacing w:after="18" w:before="0"/>
            </w:pPr>
            <w:r>
              <w:rPr>
                <w:rFonts w:ascii="Courier New" w:cs="Courier New" w:eastAsia="Courier New" w:hAnsi="Courier New"/>
                <w:color w:val="374151"/>
                <w:sz w:val="17"/>
                <w:szCs w:val="17"/>
              </w:rPr>
              <w:t xml:space="preserve">  Blue/Green Request Router           |  Webhook Receiver (HMAC verified)  |  Step-Up MFA</w:t>
            </w:r>
          </w:p>
        </w:tc>
      </w:tr>
      <w:tr>
        <w:tc>
          <w:tcPr>
            <w:tcW w:type="dxa" w:w="10080"/>
            <w:tcBorders>
              <w:top w:val="none"/>
              <w:left w:val="none"/>
              <w:bottom w:val="none"/>
              <w:right w:val="none"/>
            </w:tcBorders>
            <w:shd w:fill="FFFFFF" w:val="clear"/>
            <w:tcMar>
              <w:top w:type="dxa" w:w="40"/>
              <w:left w:type="dxa" w:w="200"/>
              <w:bottom w:type="dxa" w:w="40"/>
              <w:right w:type="dxa" w:w="200"/>
            </w:tcMar>
          </w:tcPr>
          <w:p>
            <w:pPr>
              <w:jc w:val="center"/>
            </w:pPr>
            <w:r>
              <w:rPr>
                <w:rFonts w:ascii="Courier New" w:cs="Courier New" w:eastAsia="Courier New" w:hAnsi="Courier New"/>
                <w:color w:val="007A6E"/>
                <w:sz w:val="16"/>
                <w:szCs w:val="16"/>
              </w:rPr>
              <w:t xml:space="preserve">↕  gRPC (mTLS) for sync  |  SQS/SNS for async  ↕</w:t>
            </w:r>
          </w:p>
        </w:tc>
      </w:tr>
      <w:tr>
        <w:tc>
          <w:tcPr>
            <w:tcW w:type="dxa" w:w="10080"/>
            <w:tcBorders>
              <w:top w:val="single" w:color="D1D9E6" w:sz="1"/>
              <w:left w:val="single" w:color="D1D9E6" w:sz="1"/>
              <w:bottom w:val="single" w:color="D1D9E6" w:sz="1"/>
              <w:right w:val="single" w:color="D1D9E6" w:sz="1"/>
            </w:tcBorders>
            <w:shd w:fill="E6F4F2" w:val="clear"/>
            <w:tcMar>
              <w:top w:type="dxa" w:w="120"/>
              <w:left w:type="dxa" w:w="200"/>
              <w:bottom w:type="dxa" w:w="120"/>
              <w:right w:type="dxa" w:w="200"/>
            </w:tcMar>
          </w:tcPr>
          <w:p>
            <w:pPr>
              <w:spacing w:after="60" w:before="0"/>
            </w:pPr>
            <w:r>
              <w:rPr>
                <w:rFonts w:ascii="Arial" w:cs="Arial" w:eastAsia="Arial" w:hAnsi="Arial"/>
                <w:b/>
                <w:bCs/>
                <w:color w:val="007A6E"/>
                <w:sz w:val="18"/>
                <w:szCs w:val="18"/>
              </w:rPr>
              <w:t xml:space="preserve">TIER 3  ·  BUSINESS LOGIC &amp; MICROSERVICES</w:t>
            </w:r>
          </w:p>
          <w:p>
            <w:pPr>
              <w:spacing w:after="18" w:before="0"/>
            </w:pPr>
            <w:r>
              <w:rPr>
                <w:rFonts w:ascii="Courier New" w:cs="Courier New" w:eastAsia="Courier New" w:hAnsi="Courier New"/>
                <w:color w:val="374151"/>
                <w:sz w:val="17"/>
                <w:szCs w:val="17"/>
              </w:rPr>
              <w:t xml:space="preserve">  Account Aggregation  |  Transaction Processor  |  Email Intelligence  |  ML Platform (SageMaker)</w:t>
            </w:r>
          </w:p>
          <w:p>
            <w:pPr>
              <w:spacing w:after="18" w:before="0"/>
            </w:pPr>
            <w:r>
              <w:rPr>
                <w:rFonts w:ascii="Courier New" w:cs="Courier New" w:eastAsia="Courier New" w:hAnsi="Courier New"/>
                <w:color w:val="374151"/>
                <w:sz w:val="17"/>
                <w:szCs w:val="17"/>
              </w:rPr>
              <w:t xml:space="preserve">  Cashflow Engine      |  Prompt Engine          |  Notification Svc    |  Investment Service</w:t>
            </w:r>
          </w:p>
          <w:p>
            <w:pPr>
              <w:spacing w:after="18" w:before="0"/>
            </w:pPr>
            <w:r>
              <w:rPr>
                <w:rFonts w:ascii="Courier New" w:cs="Courier New" w:eastAsia="Courier New" w:hAnsi="Courier New"/>
                <w:color w:val="374151"/>
                <w:sz w:val="17"/>
                <w:szCs w:val="17"/>
              </w:rPr>
              <w:t xml:space="preserve">  Subscription Svc     |  Event Bus (SNS/SQS)   |  Kinesis Stream      |  App Mesh (Envoy)</w:t>
            </w:r>
          </w:p>
        </w:tc>
      </w:tr>
      <w:tr>
        <w:tc>
          <w:tcPr>
            <w:tcW w:type="dxa" w:w="10080"/>
            <w:tcBorders>
              <w:top w:val="none"/>
              <w:left w:val="none"/>
              <w:bottom w:val="none"/>
              <w:right w:val="none"/>
            </w:tcBorders>
            <w:shd w:fill="FFFFFF" w:val="clear"/>
            <w:tcMar>
              <w:top w:type="dxa" w:w="40"/>
              <w:left w:type="dxa" w:w="200"/>
              <w:bottom w:type="dxa" w:w="40"/>
              <w:right w:type="dxa" w:w="200"/>
            </w:tcMar>
          </w:tcPr>
          <w:p>
            <w:pPr>
              <w:jc w:val="center"/>
            </w:pPr>
            <w:r>
              <w:rPr>
                <w:rFonts w:ascii="Courier New" w:cs="Courier New" w:eastAsia="Courier New" w:hAnsi="Courier New"/>
                <w:color w:val="007A6E"/>
                <w:sz w:val="16"/>
                <w:szCs w:val="16"/>
              </w:rPr>
              <w:t xml:space="preserve">↕  Service-Owned DB Connections (PgBouncer pooling)  ↕</w:t>
            </w:r>
          </w:p>
        </w:tc>
      </w:tr>
      <w:tr>
        <w:tc>
          <w:tcPr>
            <w:tcW w:type="dxa" w:w="10080"/>
            <w:tcBorders>
              <w:top w:val="single" w:color="D1D9E6" w:sz="1"/>
              <w:left w:val="single" w:color="D1D9E6" w:sz="1"/>
              <w:bottom w:val="single" w:color="D1D9E6" w:sz="1"/>
              <w:right w:val="single" w:color="D1D9E6" w:sz="1"/>
            </w:tcBorders>
            <w:shd w:fill="FFF7ED" w:val="clear"/>
            <w:tcMar>
              <w:top w:type="dxa" w:w="120"/>
              <w:left w:type="dxa" w:w="200"/>
              <w:bottom w:type="dxa" w:w="120"/>
              <w:right w:type="dxa" w:w="200"/>
            </w:tcMar>
          </w:tcPr>
          <w:p>
            <w:pPr>
              <w:spacing w:after="60" w:before="0"/>
            </w:pPr>
            <w:r>
              <w:rPr>
                <w:rFonts w:ascii="Arial" w:cs="Arial" w:eastAsia="Arial" w:hAnsi="Arial"/>
                <w:b/>
                <w:bCs/>
                <w:color w:val="C2410C"/>
                <w:sz w:val="18"/>
                <w:szCs w:val="18"/>
              </w:rPr>
              <w:t xml:space="preserve">TIER 4  ·  DATA &amp; PERSISTENCE</w:t>
            </w:r>
          </w:p>
          <w:p>
            <w:pPr>
              <w:spacing w:after="18" w:before="0"/>
            </w:pPr>
            <w:r>
              <w:rPr>
                <w:rFonts w:ascii="Courier New" w:cs="Courier New" w:eastAsia="Courier New" w:hAnsi="Courier New"/>
                <w:color w:val="374151"/>
                <w:sz w:val="17"/>
                <w:szCs w:val="17"/>
              </w:rPr>
              <w:t xml:space="preserve">  Aurora PostgreSQL (sharded by user_id)  |  ElastiCache Redis Cluster  |  DynamoDB  |  S3 + Glacier</w:t>
            </w:r>
          </w:p>
          <w:p>
            <w:pPr>
              <w:spacing w:after="18" w:before="0"/>
            </w:pPr>
            <w:r>
              <w:rPr>
                <w:rFonts w:ascii="Courier New" w:cs="Courier New" w:eastAsia="Courier New" w:hAnsi="Courier New"/>
                <w:color w:val="374151"/>
                <w:sz w:val="17"/>
                <w:szCs w:val="17"/>
              </w:rPr>
              <w:t xml:space="preserve">  Amazon SQS Dead-Letter Queues          |  Kinesis Data Streams       |  SageMaker Feature Store</w:t>
            </w:r>
          </w:p>
          <w:p>
            <w:pPr>
              <w:spacing w:after="18" w:before="0"/>
            </w:pPr>
            <w:r>
              <w:rPr>
                <w:rFonts w:ascii="Courier New" w:cs="Courier New" w:eastAsia="Courier New" w:hAnsi="Courier New"/>
                <w:color w:val="374151"/>
                <w:sz w:val="17"/>
                <w:szCs w:val="17"/>
              </w:rPr>
              <w:t xml:space="preserve">  AWS KMS (per-user data keys)           |  Secrets Manager            |  CloudTrail (audit log)</w:t>
            </w:r>
          </w:p>
        </w:tc>
      </w:tr>
    </w:tbl>
    <w:p>
      <w:pPr>
        <w:spacing w:after="16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3A59" w:sz="3"/>
              <w:left w:val="single" w:color="2E3A59" w:sz="16"/>
              <w:bottom w:val="single" w:color="2E3A59" w:sz="1"/>
              <w:right w:val="single" w:color="2E3A59" w:sz="1"/>
            </w:tcBorders>
            <w:shd w:fill="EEF1F8" w:val="clear"/>
            <w:tcMar>
              <w:top w:type="dxa" w:w="120"/>
              <w:left w:type="dxa" w:w="180"/>
              <w:bottom w:type="dxa" w:w="120"/>
              <w:right w:type="dxa" w:w="180"/>
            </w:tcMar>
          </w:tcPr>
          <w:p>
            <w:pPr>
              <w:spacing w:after="80" w:before="0"/>
            </w:pPr>
            <w:r>
              <w:rPr>
                <w:rFonts w:ascii="Arial" w:cs="Arial" w:eastAsia="Arial" w:hAnsi="Arial"/>
                <w:b/>
                <w:bCs/>
                <w:color w:val="2E3A59"/>
                <w:sz w:val="22"/>
                <w:szCs w:val="22"/>
              </w:rPr>
              <w:t xml:space="preserve">🔗  Communication Protocols by Path</w:t>
            </w:r>
          </w:p>
          <w:p>
            <w:pPr>
              <w:spacing w:after="30" w:before="30"/>
            </w:pPr>
            <w:r>
              <w:rPr>
                <w:rFonts w:ascii="Arial" w:cs="Arial" w:eastAsia="Arial" w:hAnsi="Arial"/>
                <w:color w:val="374151"/>
                <w:sz w:val="20"/>
                <w:szCs w:val="20"/>
              </w:rPr>
              <w:t xml:space="preserve">Client → Tier 2: HTTPS REST (GraphQL &amp; REST) over TLS 1.3; WebSocket for real-time balance push events</w:t>
            </w:r>
          </w:p>
          <w:p>
            <w:pPr>
              <w:spacing w:after="30" w:before="30"/>
            </w:pPr>
            <w:r>
              <w:rPr>
                <w:rFonts w:ascii="Arial" w:cs="Arial" w:eastAsia="Arial" w:hAnsi="Arial"/>
                <w:color w:val="374151"/>
                <w:sz w:val="20"/>
                <w:szCs w:val="20"/>
              </w:rPr>
              <w:t xml:space="preserve">Tier 2 → Tier 3 (sync): gRPC with mTLS via App Mesh Envoy — used for latency-critical paths (auth, balance read)</w:t>
            </w:r>
          </w:p>
          <w:p>
            <w:pPr>
              <w:spacing w:after="30" w:before="30"/>
            </w:pPr>
            <w:r>
              <w:rPr>
                <w:rFonts w:ascii="Arial" w:cs="Arial" w:eastAsia="Arial" w:hAnsi="Arial"/>
                <w:color w:val="374151"/>
                <w:sz w:val="20"/>
                <w:szCs w:val="20"/>
              </w:rPr>
              <w:t xml:space="preserve">Tier 3 → Tier 3 (async): Amazon SQS point-to-point; Amazon SNS fan-out for multi-consumer event broadcasting</w:t>
            </w:r>
          </w:p>
          <w:p>
            <w:pPr>
              <w:spacing w:after="30" w:before="30"/>
            </w:pPr>
            <w:r>
              <w:rPr>
                <w:rFonts w:ascii="Arial" w:cs="Arial" w:eastAsia="Arial" w:hAnsi="Arial"/>
                <w:color w:val="374151"/>
                <w:sz w:val="20"/>
                <w:szCs w:val="20"/>
              </w:rPr>
              <w:t xml:space="preserve">Tier 3 → Tier 4: Direct driver connections with PgBouncer connection pooling (PostgreSQL); Redis client pooling</w:t>
            </w:r>
          </w:p>
          <w:p>
            <w:pPr>
              <w:spacing w:after="30" w:before="30"/>
            </w:pPr>
            <w:r>
              <w:rPr>
                <w:rFonts w:ascii="Arial" w:cs="Arial" w:eastAsia="Arial" w:hAnsi="Arial"/>
                <w:color w:val="374151"/>
                <w:sz w:val="20"/>
                <w:szCs w:val="20"/>
              </w:rPr>
              <w:t xml:space="preserve">External → Tier 2: Plaid/MX/Gmail webhooks arrive at AWS API Gateway, HMAC-verified, enqueued to SQS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9440"/>
      </w:tblGrid>
      <w:tr>
        <w:tc>
          <w:tcPr>
            <w:tcW w:type="dxa" w:w="640"/>
            <w:tcBorders>
              <w:top w:val="none"/>
              <w:left w:val="none"/>
              <w:bottom w:val="none"/>
              <w:right w:val="none"/>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04</w:t>
            </w:r>
          </w:p>
        </w:tc>
        <w:tc>
          <w:tcPr>
            <w:tcW w:type="dxa" w:w="9440"/>
            <w:tcBorders>
              <w:top w:val="none"/>
              <w:left w:val="none"/>
              <w:bottom w:val="single" w:color="007A6E" w:sz="3"/>
              <w:right w:val="none"/>
            </w:tcBorders>
            <w:shd w:fill="E6F4F2" w:val="clear"/>
            <w:tcMar>
              <w:top w:type="dxa" w:w="100"/>
              <w:left w:type="dxa" w:w="200"/>
              <w:bottom w:type="dxa" w:w="100"/>
              <w:right w:type="dxa" w:w="160"/>
            </w:tcMar>
            <w:vAlign w:val="center"/>
          </w:tcPr>
          <w:p>
            <w:pPr>
              <w:spacing w:after="30" w:before="0"/>
            </w:pPr>
            <w:r>
              <w:rPr>
                <w:rFonts w:ascii="Arial" w:cs="Arial" w:eastAsia="Arial" w:hAnsi="Arial"/>
                <w:b/>
                <w:bCs/>
                <w:color w:val="0D1B3E"/>
                <w:sz w:val="30"/>
                <w:szCs w:val="30"/>
              </w:rPr>
              <w:t xml:space="preserve">Service Decomposition</w:t>
            </w:r>
          </w:p>
          <w:p>
            <w:pPr>
              <w:spacing w:after="0" w:before="0"/>
            </w:pPr>
            <w:r>
              <w:rPr>
                <w:rFonts w:ascii="Arial" w:cs="Arial" w:eastAsia="Arial" w:hAnsi="Arial"/>
                <w:i/>
                <w:iCs/>
                <w:color w:val="007A6E"/>
                <w:sz w:val="18"/>
                <w:szCs w:val="18"/>
              </w:rPr>
              <w:t xml:space="preserve">Microservice responsibilities, APIs, and data ownership</w:t>
            </w:r>
          </w:p>
        </w:tc>
      </w:tr>
    </w:tbl>
    <w:p>
      <w:pPr>
        <w:spacing w:after="16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800"/>
        <w:gridCol w:w="1900"/>
        <w:gridCol w:w="2080"/>
      </w:tblGrid>
      <w:tr>
        <w:trPr>
          <w:tblHeader/>
        </w:trPr>
        <w:tc>
          <w:tcPr>
            <w:tcW w:type="dxa" w:w="17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Service</w:t>
            </w:r>
          </w:p>
        </w:tc>
        <w:tc>
          <w:tcPr>
            <w:tcW w:type="dxa" w:w="26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Domain Responsibility</w:t>
            </w:r>
          </w:p>
        </w:tc>
        <w:tc>
          <w:tcPr>
            <w:tcW w:type="dxa" w:w="18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Owns Schema</w:t>
            </w:r>
          </w:p>
        </w:tc>
        <w:tc>
          <w:tcPr>
            <w:tcW w:type="dxa" w:w="19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Exposes</w:t>
            </w:r>
          </w:p>
        </w:tc>
        <w:tc>
          <w:tcPr>
            <w:tcW w:type="dxa" w:w="20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Consumes Events</w:t>
            </w:r>
          </w:p>
        </w:tc>
      </w:tr>
      <w:tr>
        <w:tc>
          <w:tcPr>
            <w:tcW w:type="dxa" w:w="17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Account Aggregation</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Plaid/MX/Finicity token mgmt; account sync; webhook ingest</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accounts, institution_connections</w:t>
            </w:r>
          </w:p>
        </w:tc>
        <w:tc>
          <w:tcPr>
            <w:tcW w:type="dxa" w:w="19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gRPC: GetAccounts, RefreshAccount</w:t>
            </w:r>
          </w:p>
        </w:tc>
        <w:tc>
          <w:tcPr>
            <w:tcW w:type="dxa" w:w="20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plaid.webhook.received</w:t>
            </w:r>
          </w:p>
        </w:tc>
      </w:tr>
      <w:tr>
        <w:tc>
          <w:tcPr>
            <w:tcW w:type="dxa" w:w="17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Transaction Processor</w:t>
            </w:r>
          </w:p>
        </w:tc>
        <w:tc>
          <w:tcPr>
            <w:tcW w:type="dxa" w:w="2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Ingest, dedup, normalize, ML categorize, persist</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transactions, categories</w:t>
            </w:r>
          </w:p>
        </w:tc>
        <w:tc>
          <w:tcPr>
            <w:tcW w:type="dxa" w:w="19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gRPC: GetTransactions, CategorizeOverride</w:t>
            </w:r>
          </w:p>
        </w:tc>
        <w:tc>
          <w:tcPr>
            <w:tcW w:type="dxa" w:w="20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account.synced, plaid.txn.created</w:t>
            </w:r>
          </w:p>
        </w:tc>
      </w:tr>
      <w:tr>
        <w:tc>
          <w:tcPr>
            <w:tcW w:type="dxa" w:w="17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Email Intelligence</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Gmail/Outlook OAuth; NLP extract financial signals; map to bills</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email_signals, bill_detections</w:t>
            </w:r>
          </w:p>
        </w:tc>
        <w:tc>
          <w:tcPr>
            <w:tcW w:type="dxa" w:w="19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gRPC: GetDetectedBills</w:t>
            </w:r>
          </w:p>
        </w:tc>
        <w:tc>
          <w:tcPr>
            <w:tcW w:type="dxa" w:w="20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email.new_message (pre-filtered)</w:t>
            </w:r>
          </w:p>
        </w:tc>
      </w:tr>
      <w:tr>
        <w:tc>
          <w:tcPr>
            <w:tcW w:type="dxa" w:w="17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Cashflow Engine</w:t>
            </w:r>
          </w:p>
        </w:tc>
        <w:tc>
          <w:tcPr>
            <w:tcW w:type="dxa" w:w="2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30/60/90-day projection; Safe to Spend calc; confidence bands</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cashflow_projections</w:t>
            </w:r>
          </w:p>
        </w:tc>
        <w:tc>
          <w:tcPr>
            <w:tcW w:type="dxa" w:w="19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gRPC: GetProjection, GetSafeToSpend</w:t>
            </w:r>
          </w:p>
        </w:tc>
        <w:tc>
          <w:tcPr>
            <w:tcW w:type="dxa" w:w="20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transaction.created, bill.detected</w:t>
            </w:r>
          </w:p>
        </w:tc>
      </w:tr>
      <w:tr>
        <w:tc>
          <w:tcPr>
            <w:tcW w:type="dxa" w:w="17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Prompt Engine</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Rule + ML ranked prompts; A/B test; delivery channel routing</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prompts, delivery_log</w:t>
            </w:r>
          </w:p>
        </w:tc>
        <w:tc>
          <w:tcPr>
            <w:tcW w:type="dxa" w:w="19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gRPC: GetPrompts, AckPrompt</w:t>
            </w:r>
          </w:p>
        </w:tc>
        <w:tc>
          <w:tcPr>
            <w:tcW w:type="dxa" w:w="20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cashflow.updated, txn.anomaly</w:t>
            </w:r>
          </w:p>
        </w:tc>
      </w:tr>
      <w:tr>
        <w:tc>
          <w:tcPr>
            <w:tcW w:type="dxa" w:w="17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Investment Service</w:t>
            </w:r>
          </w:p>
        </w:tc>
        <w:tc>
          <w:tcPr>
            <w:tcW w:type="dxa" w:w="2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Holdings sync; EOD pricing; performance; net worth roll-up</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holdings, prices, net_worth</w:t>
            </w:r>
          </w:p>
        </w:tc>
        <w:tc>
          <w:tcPr>
            <w:tcW w:type="dxa" w:w="19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gRPC: GetNetWorth, GetPortfolio</w:t>
            </w:r>
          </w:p>
        </w:tc>
        <w:tc>
          <w:tcPr>
            <w:tcW w:type="dxa" w:w="20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account.synced (investment type)</w:t>
            </w:r>
          </w:p>
        </w:tc>
      </w:tr>
      <w:tr>
        <w:tc>
          <w:tcPr>
            <w:tcW w:type="dxa" w:w="17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Notification Service</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FCM/APNs/email delivery; throttle; dedup; preference enforcement</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device_tokens, notif_log</w:t>
            </w:r>
          </w:p>
        </w:tc>
        <w:tc>
          <w:tcPr>
            <w:tcW w:type="dxa" w:w="19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gRPC: SendNotification</w:t>
            </w:r>
          </w:p>
        </w:tc>
        <w:tc>
          <w:tcPr>
            <w:tcW w:type="dxa" w:w="20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prompt.queued</w:t>
            </w:r>
          </w:p>
        </w:tc>
      </w:tr>
      <w:tr>
        <w:tc>
          <w:tcPr>
            <w:tcW w:type="dxa" w:w="17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Subscription &amp; Billing</w:t>
            </w:r>
          </w:p>
        </w:tc>
        <w:tc>
          <w:tcPr>
            <w:tcW w:type="dxa" w:w="2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Stripe webhooks; plan state; feature flag enforcement</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subscriptions, entitlements</w:t>
            </w:r>
          </w:p>
        </w:tc>
        <w:tc>
          <w:tcPr>
            <w:tcW w:type="dxa" w:w="19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REST: /billing, /plans; gRPC: CheckEntitlement</w:t>
            </w:r>
          </w:p>
        </w:tc>
        <w:tc>
          <w:tcPr>
            <w:tcW w:type="dxa" w:w="20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stripe.webhook.*</w:t>
            </w:r>
          </w:p>
        </w:tc>
      </w:tr>
      <w:tr>
        <w:tc>
          <w:tcPr>
            <w:tcW w:type="dxa" w:w="17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ML Platform</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Model serving; categorize, anomaly, prompt rank; retraining pipeline</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model_artifacts (S3)</w:t>
            </w:r>
          </w:p>
        </w:tc>
        <w:tc>
          <w:tcPr>
            <w:tcW w:type="dxa" w:w="19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REST: /predict/category, /anomaly</w:t>
            </w:r>
          </w:p>
        </w:tc>
        <w:tc>
          <w:tcPr>
            <w:tcW w:type="dxa" w:w="20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transaction.created (feature pipeline)</w:t>
            </w:r>
          </w:p>
        </w:tc>
      </w:tr>
    </w:tbl>
    <w:p>
      <w:pPr>
        <w:spacing w:after="20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4ED8" w:sz="3"/>
              <w:left w:val="single" w:color="1D4ED8" w:sz="16"/>
              <w:bottom w:val="single" w:color="1D4ED8" w:sz="1"/>
              <w:right w:val="single" w:color="1D4ED8" w:sz="1"/>
            </w:tcBorders>
            <w:shd w:fill="EFF6FF" w:val="clear"/>
            <w:tcMar>
              <w:top w:type="dxa" w:w="120"/>
              <w:left w:type="dxa" w:w="180"/>
              <w:bottom w:type="dxa" w:w="120"/>
              <w:right w:type="dxa" w:w="180"/>
            </w:tcMar>
          </w:tcPr>
          <w:p>
            <w:pPr>
              <w:spacing w:after="80" w:before="0"/>
            </w:pPr>
            <w:r>
              <w:rPr>
                <w:rFonts w:ascii="Arial" w:cs="Arial" w:eastAsia="Arial" w:hAnsi="Arial"/>
                <w:b/>
                <w:bCs/>
                <w:color w:val="1D4ED8"/>
                <w:sz w:val="22"/>
                <w:szCs w:val="22"/>
              </w:rPr>
              <w:t xml:space="preserve">📋  Service Mesh &amp; Discovery</w:t>
            </w:r>
          </w:p>
          <w:p>
            <w:pPr>
              <w:spacing w:after="30" w:before="30"/>
            </w:pPr>
            <w:r>
              <w:rPr>
                <w:rFonts w:ascii="Arial" w:cs="Arial" w:eastAsia="Arial" w:hAnsi="Arial"/>
                <w:color w:val="374151"/>
                <w:sz w:val="20"/>
                <w:szCs w:val="20"/>
              </w:rPr>
              <w:t xml:space="preserve">Service mesh: AWS App Mesh (Envoy proxies) — provides mTLS, circuit breaking, retries, and distributed tracing</w:t>
            </w:r>
          </w:p>
          <w:p>
            <w:pPr>
              <w:spacing w:after="30" w:before="30"/>
            </w:pPr>
            <w:r>
              <w:rPr>
                <w:rFonts w:ascii="Arial" w:cs="Arial" w:eastAsia="Arial" w:hAnsi="Arial"/>
                <w:color w:val="374151"/>
                <w:sz w:val="20"/>
                <w:szCs w:val="20"/>
              </w:rPr>
              <w:t xml:space="preserve">Service discovery: AWS Cloud Map — DNS-based; services register on deploy, deregister on drain</w:t>
            </w:r>
          </w:p>
          <w:p>
            <w:pPr>
              <w:spacing w:after="30" w:before="30"/>
            </w:pPr>
            <w:r>
              <w:rPr>
                <w:rFonts w:ascii="Arial" w:cs="Arial" w:eastAsia="Arial" w:hAnsi="Arial"/>
                <w:color w:val="374151"/>
                <w:sz w:val="20"/>
                <w:szCs w:val="20"/>
              </w:rPr>
              <w:t xml:space="preserve">Circuit breaker: Envoy per-upstream — 5 consecutive 5xx triggers open state; half-open probe after 30s</w:t>
            </w:r>
          </w:p>
          <w:p>
            <w:pPr>
              <w:spacing w:after="30" w:before="30"/>
            </w:pPr>
            <w:r>
              <w:rPr>
                <w:rFonts w:ascii="Arial" w:cs="Arial" w:eastAsia="Arial" w:hAnsi="Arial"/>
                <w:color w:val="374151"/>
                <w:sz w:val="20"/>
                <w:szCs w:val="20"/>
              </w:rPr>
              <w:t xml:space="preserve">Retry policy: Idempotent reads retry 3x with exponential backoff (100ms, 200ms, 400ms); writes never auto-retry</w:t>
            </w:r>
          </w:p>
          <w:p>
            <w:pPr>
              <w:spacing w:after="30" w:before="30"/>
            </w:pPr>
            <w:r>
              <w:rPr>
                <w:rFonts w:ascii="Arial" w:cs="Arial" w:eastAsia="Arial" w:hAnsi="Arial"/>
                <w:color w:val="374151"/>
                <w:sz w:val="20"/>
                <w:szCs w:val="20"/>
              </w:rPr>
              <w:t xml:space="preserve">Schema contracts: Proto3 schemas in central registry; breaking changes require new major version + 60-day deprecation window</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9440"/>
      </w:tblGrid>
      <w:tr>
        <w:tc>
          <w:tcPr>
            <w:tcW w:type="dxa" w:w="640"/>
            <w:tcBorders>
              <w:top w:val="none"/>
              <w:left w:val="none"/>
              <w:bottom w:val="none"/>
              <w:right w:val="none"/>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05</w:t>
            </w:r>
          </w:p>
        </w:tc>
        <w:tc>
          <w:tcPr>
            <w:tcW w:type="dxa" w:w="9440"/>
            <w:tcBorders>
              <w:top w:val="none"/>
              <w:left w:val="none"/>
              <w:bottom w:val="single" w:color="007A6E" w:sz="3"/>
              <w:right w:val="none"/>
            </w:tcBorders>
            <w:shd w:fill="E6F4F2" w:val="clear"/>
            <w:tcMar>
              <w:top w:type="dxa" w:w="100"/>
              <w:left w:type="dxa" w:w="200"/>
              <w:bottom w:type="dxa" w:w="100"/>
              <w:right w:type="dxa" w:w="160"/>
            </w:tcMar>
            <w:vAlign w:val="center"/>
          </w:tcPr>
          <w:p>
            <w:pPr>
              <w:spacing w:after="30" w:before="0"/>
            </w:pPr>
            <w:r>
              <w:rPr>
                <w:rFonts w:ascii="Arial" w:cs="Arial" w:eastAsia="Arial" w:hAnsi="Arial"/>
                <w:b/>
                <w:bCs/>
                <w:color w:val="0D1B3E"/>
                <w:sz w:val="30"/>
                <w:szCs w:val="30"/>
              </w:rPr>
              <w:t xml:space="preserve">Data Architecture &amp; Flow</w:t>
            </w:r>
          </w:p>
          <w:p>
            <w:pPr>
              <w:spacing w:after="0" w:before="0"/>
            </w:pPr>
            <w:r>
              <w:rPr>
                <w:rFonts w:ascii="Arial" w:cs="Arial" w:eastAsia="Arial" w:hAnsi="Arial"/>
                <w:i/>
                <w:iCs/>
                <w:color w:val="007A6E"/>
                <w:sz w:val="18"/>
                <w:szCs w:val="18"/>
              </w:rPr>
              <w:t xml:space="preserve">Data models, ownership, flows, and lifecycle</w:t>
            </w:r>
          </w:p>
        </w:tc>
      </w:tr>
    </w:tbl>
    <w:p>
      <w:pPr>
        <w:spacing w:after="160" w:before="0"/>
      </w:pPr>
      <w:r>
        <w:rPr>
          <w:rFonts w:ascii="Arial" w:cs="Arial" w:eastAsia="Arial" w:hAnsi="Arial"/>
        </w:rPr>
        <w:t xml:space="preserve"/>
      </w:r>
    </w:p>
    <w:p>
      <w:pPr>
        <w:pStyle w:val="Heading2"/>
        <w:spacing w:after="120" w:before="280"/>
      </w:pPr>
      <w:r>
        <w:rPr>
          <w:rFonts w:ascii="Arial" w:cs="Arial" w:eastAsia="Arial" w:hAnsi="Arial"/>
          <w:b/>
          <w:bCs/>
        </w:rPr>
        <w:t xml:space="preserve">Core Data Entities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800"/>
        <w:gridCol w:w="3000"/>
        <w:gridCol w:w="1780"/>
      </w:tblGrid>
      <w:tr>
        <w:trPr>
          <w:tblHeader/>
        </w:trPr>
        <w:tc>
          <w:tcPr>
            <w:tcW w:type="dxa" w:w="16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Entity</w:t>
            </w:r>
          </w:p>
        </w:tc>
        <w:tc>
          <w:tcPr>
            <w:tcW w:type="dxa" w:w="19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 Service</w:t>
            </w:r>
          </w:p>
        </w:tc>
        <w:tc>
          <w:tcPr>
            <w:tcW w:type="dxa" w:w="18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Storage</w:t>
            </w:r>
          </w:p>
        </w:tc>
        <w:tc>
          <w:tcPr>
            <w:tcW w:type="dxa" w:w="30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Fields</w:t>
            </w:r>
          </w:p>
        </w:tc>
        <w:tc>
          <w:tcPr>
            <w:tcW w:type="dxa" w:w="17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Retention</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User</w:t>
            </w:r>
          </w:p>
        </w:tc>
        <w:tc>
          <w:tcPr>
            <w:tcW w:type="dxa" w:w="19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Auth Service</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PostgreSQL</w:t>
            </w:r>
          </w:p>
        </w:tc>
        <w:tc>
          <w:tcPr>
            <w:tcW w:type="dxa" w:w="3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user_id, email_hash, plan_tier, biometric_token_ref</w:t>
            </w:r>
          </w:p>
        </w:tc>
        <w:tc>
          <w:tcPr>
            <w:tcW w:type="dxa" w:w="17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Account lifetime + 30 days post-deletion</w:t>
            </w:r>
          </w:p>
        </w:tc>
      </w:tr>
      <w:tr>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Account</w:t>
            </w:r>
          </w:p>
        </w:tc>
        <w:tc>
          <w:tcPr>
            <w:tcW w:type="dxa" w:w="19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Account Aggregation</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PostgreSQL</w:t>
            </w:r>
          </w:p>
        </w:tc>
        <w:tc>
          <w:tcPr>
            <w:tcW w:type="dxa" w:w="3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account_id, user_id, institution_id, plaid_token_enc, type, balance_cents</w:t>
            </w:r>
          </w:p>
        </w:tc>
        <w:tc>
          <w:tcPr>
            <w:tcW w:type="dxa" w:w="17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Account lifetime</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Transaction</w:t>
            </w:r>
          </w:p>
        </w:tc>
        <w:tc>
          <w:tcPr>
            <w:tcW w:type="dxa" w:w="19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Transaction Processor</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PostgreSQL (sharded)</w:t>
            </w:r>
          </w:p>
        </w:tc>
        <w:tc>
          <w:tcPr>
            <w:tcW w:type="dxa" w:w="3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txn_id, account_id, amount_cents, merchant_norm, category_id, confidence, date</w:t>
            </w:r>
          </w:p>
        </w:tc>
        <w:tc>
          <w:tcPr>
            <w:tcW w:type="dxa" w:w="17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Full (Premium) / 90 days (Free)</w:t>
            </w:r>
          </w:p>
        </w:tc>
      </w:tr>
      <w:tr>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EmailSignal</w:t>
            </w:r>
          </w:p>
        </w:tc>
        <w:tc>
          <w:tcPr>
            <w:tcW w:type="dxa" w:w="19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Email Intelligence</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DynamoDB + S3</w:t>
            </w:r>
          </w:p>
        </w:tc>
        <w:tc>
          <w:tcPr>
            <w:tcW w:type="dxa" w:w="3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signal_id, user_id, signal_type, amount_cents, due_date, source_hash</w:t>
            </w:r>
          </w:p>
        </w:tc>
        <w:tc>
          <w:tcPr>
            <w:tcW w:type="dxa" w:w="17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12 months rolling</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CashflowProjection</w:t>
            </w:r>
          </w:p>
        </w:tc>
        <w:tc>
          <w:tcPr>
            <w:tcW w:type="dxa" w:w="19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Cashflow Engine</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PostgreSQL + Redis</w:t>
            </w:r>
          </w:p>
        </w:tc>
        <w:tc>
          <w:tcPr>
            <w:tcW w:type="dxa" w:w="3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proj_id, user_id, horizon_days, projected_balance_cents, confidence_band_pct</w:t>
            </w:r>
          </w:p>
        </w:tc>
        <w:tc>
          <w:tcPr>
            <w:tcW w:type="dxa" w:w="17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30 days (superseded on recompute)</w:t>
            </w:r>
          </w:p>
        </w:tc>
      </w:tr>
      <w:tr>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Prompt</w:t>
            </w:r>
          </w:p>
        </w:tc>
        <w:tc>
          <w:tcPr>
            <w:tcW w:type="dxa" w:w="19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Prompt Engine</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DynamoDB</w:t>
            </w:r>
          </w:p>
        </w:tc>
        <w:tc>
          <w:tcPr>
            <w:tcW w:type="dxa" w:w="3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prompt_id, user_id, type, body, cta, channel, delivered_at, acked_at</w:t>
            </w:r>
          </w:p>
        </w:tc>
        <w:tc>
          <w:tcPr>
            <w:tcW w:type="dxa" w:w="17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6 months</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NetWorthSnapshot</w:t>
            </w:r>
          </w:p>
        </w:tc>
        <w:tc>
          <w:tcPr>
            <w:tcW w:type="dxa" w:w="19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Investment Service</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PostgreSQL + S3</w:t>
            </w:r>
          </w:p>
        </w:tc>
        <w:tc>
          <w:tcPr>
            <w:tcW w:type="dxa" w:w="3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snapshot_id, user_id, total_assets_cents, total_liabilities_cents, computed_at</w:t>
            </w:r>
          </w:p>
        </w:tc>
        <w:tc>
          <w:tcPr>
            <w:tcW w:type="dxa" w:w="17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5 years</w:t>
            </w:r>
          </w:p>
        </w:tc>
      </w:tr>
    </w:tbl>
    <w:p>
      <w:pPr>
        <w:spacing w:after="180" w:before="0"/>
      </w:pPr>
      <w:r>
        <w:rPr>
          <w:rFonts w:ascii="Arial" w:cs="Arial" w:eastAsia="Arial" w:hAnsi="Arial"/>
        </w:rPr>
        <w:t xml:space="preserve"/>
      </w:r>
    </w:p>
    <w:p>
      <w:pPr>
        <w:pStyle w:val="Heading2"/>
        <w:spacing w:after="120" w:before="280"/>
      </w:pPr>
      <w:r>
        <w:rPr>
          <w:rFonts w:ascii="Arial" w:cs="Arial" w:eastAsia="Arial" w:hAnsi="Arial"/>
          <w:b/>
          <w:bCs/>
        </w:rPr>
        <w:t xml:space="preserve">Transaction Ingestion Flow (Real-Time)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400"/>
        <w:gridCol w:w="1180"/>
      </w:tblGrid>
      <w:tr>
        <w:trPr>
          <w:tblHeader/>
        </w:trPr>
        <w:tc>
          <w:tcPr>
            <w:tcW w:type="dxa" w:w="5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20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Actor</w:t>
            </w:r>
          </w:p>
        </w:tc>
        <w:tc>
          <w:tcPr>
            <w:tcW w:type="dxa" w:w="44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11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Latency Target</w:t>
            </w:r>
          </w:p>
        </w:tc>
      </w:tr>
      <w:tr>
        <w:tc>
          <w:tcPr>
            <w:tcW w:type="dxa" w:w="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1</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Plaid Webhook</w:t>
            </w:r>
          </w:p>
        </w:tc>
        <w:tc>
          <w:tcPr>
            <w:tcW w:type="dxa" w:w="4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POST /webhooks/plaid with new transaction event</w:t>
            </w:r>
          </w:p>
        </w:tc>
        <w:tc>
          <w:tcPr>
            <w:tcW w:type="dxa" w:w="11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External</w:t>
            </w:r>
          </w:p>
        </w:tc>
      </w:tr>
      <w:tr>
        <w:tc>
          <w:tcPr>
            <w:tcW w:type="dxa" w:w="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2</w:t>
            </w:r>
          </w:p>
        </w:tc>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API Gateway</w:t>
            </w:r>
          </w:p>
        </w:tc>
        <w:tc>
          <w:tcPr>
            <w:tcW w:type="dxa" w:w="4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Validate HMAC signature; push to SQS:plaid-webhooks</w:t>
            </w:r>
          </w:p>
        </w:tc>
        <w:tc>
          <w:tcPr>
            <w:tcW w:type="dxa" w:w="11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50ms</w:t>
            </w:r>
          </w:p>
        </w:tc>
      </w:tr>
      <w:tr>
        <w:tc>
          <w:tcPr>
            <w:tcW w:type="dxa" w:w="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3</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Account Aggregation Svc</w:t>
            </w:r>
          </w:p>
        </w:tc>
        <w:tc>
          <w:tcPr>
            <w:tcW w:type="dxa" w:w="4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Dequeue; fetch full transaction from Plaid API; publish account.synced</w:t>
            </w:r>
          </w:p>
        </w:tc>
        <w:tc>
          <w:tcPr>
            <w:tcW w:type="dxa" w:w="11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3s</w:t>
            </w:r>
          </w:p>
        </w:tc>
      </w:tr>
      <w:tr>
        <w:tc>
          <w:tcPr>
            <w:tcW w:type="dxa" w:w="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4</w:t>
            </w:r>
          </w:p>
        </w:tc>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Transaction Processor</w:t>
            </w:r>
          </w:p>
        </w:tc>
        <w:tc>
          <w:tcPr>
            <w:tcW w:type="dxa" w:w="4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Dequeue; dedup check (Redis bloom filter); normalize merchant name</w:t>
            </w:r>
          </w:p>
        </w:tc>
        <w:tc>
          <w:tcPr>
            <w:tcW w:type="dxa" w:w="11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200ms</w:t>
            </w:r>
          </w:p>
        </w:tc>
      </w:tr>
      <w:tr>
        <w:tc>
          <w:tcPr>
            <w:tcW w:type="dxa" w:w="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5</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ML Categorization</w:t>
            </w:r>
          </w:p>
        </w:tc>
        <w:tc>
          <w:tcPr>
            <w:tcW w:type="dxa" w:w="4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Invoke SageMaker endpoint; assign category + confidence score</w:t>
            </w:r>
          </w:p>
        </w:tc>
        <w:tc>
          <w:tcPr>
            <w:tcW w:type="dxa" w:w="11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300ms</w:t>
            </w:r>
          </w:p>
        </w:tc>
      </w:tr>
      <w:tr>
        <w:tc>
          <w:tcPr>
            <w:tcW w:type="dxa" w:w="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6</w:t>
            </w:r>
          </w:p>
        </w:tc>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Write to PostgreSQL</w:t>
            </w:r>
          </w:p>
        </w:tc>
        <w:tc>
          <w:tcPr>
            <w:tcW w:type="dxa" w:w="4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INSERT transaction; invalidate Redis balance cache for user</w:t>
            </w:r>
          </w:p>
        </w:tc>
        <w:tc>
          <w:tcPr>
            <w:tcW w:type="dxa" w:w="11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100ms</w:t>
            </w:r>
          </w:p>
        </w:tc>
      </w:tr>
      <w:tr>
        <w:tc>
          <w:tcPr>
            <w:tcW w:type="dxa" w:w="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7</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Publish transaction.created</w:t>
            </w:r>
          </w:p>
        </w:tc>
        <w:tc>
          <w:tcPr>
            <w:tcW w:type="dxa" w:w="4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SNS fan-out to: Cashflow Engine, Prompt Engine, Anomaly Detector</w:t>
            </w:r>
          </w:p>
        </w:tc>
        <w:tc>
          <w:tcPr>
            <w:tcW w:type="dxa" w:w="11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50ms</w:t>
            </w:r>
          </w:p>
        </w:tc>
      </w:tr>
      <w:tr>
        <w:tc>
          <w:tcPr>
            <w:tcW w:type="dxa" w:w="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8</w:t>
            </w:r>
          </w:p>
        </w:tc>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Cashflow Engine</w:t>
            </w:r>
          </w:p>
        </w:tc>
        <w:tc>
          <w:tcPr>
            <w:tcW w:type="dxa" w:w="4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Recompute Safe to Spend; update projection; push WebSocket update to client</w:t>
            </w:r>
          </w:p>
        </w:tc>
        <w:tc>
          <w:tcPr>
            <w:tcW w:type="dxa" w:w="11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500ms</w:t>
            </w:r>
          </w:p>
        </w:tc>
      </w:tr>
    </w:tbl>
    <w:p>
      <w:pPr>
        <w:spacing w:after="180" w:before="0"/>
      </w:pPr>
      <w:r>
        <w:rPr>
          <w:rFonts w:ascii="Arial" w:cs="Arial" w:eastAsia="Arial" w:hAnsi="Arial"/>
        </w:rPr>
        <w:t xml:space="preserve"/>
      </w:r>
    </w:p>
    <w:p>
      <w:pPr>
        <w:pStyle w:val="Heading2"/>
        <w:spacing w:after="120" w:before="280"/>
      </w:pPr>
      <w:r>
        <w:rPr>
          <w:rFonts w:ascii="Arial" w:cs="Arial" w:eastAsia="Arial" w:hAnsi="Arial"/>
          <w:b/>
          <w:bCs/>
        </w:rPr>
        <w:t xml:space="preserve">Email Intelligence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1680"/>
      </w:tblGrid>
      <w:tr>
        <w:trPr>
          <w:tblHeader/>
        </w:trPr>
        <w:tc>
          <w:tcPr>
            <w:tcW w:type="dxa" w:w="5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20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Actor</w:t>
            </w:r>
          </w:p>
        </w:tc>
        <w:tc>
          <w:tcPr>
            <w:tcW w:type="dxa" w:w="39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16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1</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Mobile Client</w:t>
            </w:r>
          </w:p>
        </w:tc>
        <w:tc>
          <w:tcPr>
            <w:tcW w:type="dxa" w:w="39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Gmail/Outlook OAuth push notification received on device</w:t>
            </w:r>
          </w:p>
        </w:tc>
        <w:tc>
          <w:tcPr>
            <w:tcW w:type="dxa" w:w="16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On-device only</w:t>
            </w:r>
          </w:p>
        </w:tc>
      </w:tr>
      <w:tr>
        <w:tc>
          <w:tcPr>
            <w:tcW w:type="dxa" w:w="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2</w:t>
            </w:r>
          </w:p>
        </w:tc>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On-Device NLP Filter</w:t>
            </w:r>
          </w:p>
        </w:tc>
        <w:tc>
          <w:tcPr>
            <w:tcW w:type="dxa" w:w="39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Classify: financial signal? If no → discard. If yes → extract metadata</w:t>
            </w:r>
          </w:p>
        </w:tc>
        <w:tc>
          <w:tcPr>
            <w:tcW w:type="dxa" w:w="16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No content leaves device</w:t>
            </w:r>
          </w:p>
        </w:tc>
      </w:tr>
      <w:tr>
        <w:tc>
          <w:tcPr>
            <w:tcW w:type="dxa" w:w="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3</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Email Intelligence API</w:t>
            </w:r>
          </w:p>
        </w:tc>
        <w:tc>
          <w:tcPr>
            <w:tcW w:type="dxa" w:w="39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Client POSTs extracted metadata only (merchant, amount, date, type) — NO email body</w:t>
            </w:r>
          </w:p>
        </w:tc>
        <w:tc>
          <w:tcPr>
            <w:tcW w:type="dxa" w:w="16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PII-safe payload</w:t>
            </w:r>
          </w:p>
        </w:tc>
      </w:tr>
      <w:tr>
        <w:tc>
          <w:tcPr>
            <w:tcW w:type="dxa" w:w="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4</w:t>
            </w:r>
          </w:p>
        </w:tc>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Signal Validator</w:t>
            </w:r>
          </w:p>
        </w:tc>
        <w:tc>
          <w:tcPr>
            <w:tcW w:type="dxa" w:w="39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Dedup check (seen signal hash?); validate fields; cross-reference merchant registry</w:t>
            </w:r>
          </w:p>
        </w:tc>
        <w:tc>
          <w:tcPr>
            <w:tcW w:type="dxa" w:w="16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Idempotent operation</w:t>
            </w:r>
          </w:p>
        </w:tc>
      </w:tr>
      <w:tr>
        <w:tc>
          <w:tcPr>
            <w:tcW w:type="dxa" w:w="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5</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Bill Detector</w:t>
            </w:r>
          </w:p>
        </w:tc>
        <w:tc>
          <w:tcPr>
            <w:tcW w:type="dxa" w:w="39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Match signal to upcoming bill pattern; create or update EmailSignal record</w:t>
            </w:r>
          </w:p>
        </w:tc>
        <w:tc>
          <w:tcPr>
            <w:tcW w:type="dxa" w:w="16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DynamoDB write</w:t>
            </w:r>
          </w:p>
        </w:tc>
      </w:tr>
      <w:tr>
        <w:tc>
          <w:tcPr>
            <w:tcW w:type="dxa" w:w="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6</w:t>
            </w:r>
          </w:p>
        </w:tc>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Publish bill.detected</w:t>
            </w:r>
          </w:p>
        </w:tc>
        <w:tc>
          <w:tcPr>
            <w:tcW w:type="dxa" w:w="39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SNS fan-out to Cashflow Engine + Prompt Engine</w:t>
            </w:r>
          </w:p>
        </w:tc>
        <w:tc>
          <w:tcPr>
            <w:tcW w:type="dxa" w:w="16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5 min total pipeline</w:t>
            </w:r>
          </w:p>
        </w:tc>
      </w:tr>
      <w:tr>
        <w:tc>
          <w:tcPr>
            <w:tcW w:type="dxa" w:w="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7</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Prompt Engine</w:t>
            </w:r>
          </w:p>
        </w:tc>
        <w:tc>
          <w:tcPr>
            <w:tcW w:type="dxa" w:w="39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Evaluate notification need; score against user preferences and recency</w:t>
            </w:r>
          </w:p>
        </w:tc>
        <w:tc>
          <w:tcPr>
            <w:tcW w:type="dxa" w:w="16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Ranked delivery queue</w:t>
            </w:r>
          </w:p>
        </w:tc>
      </w:tr>
    </w:tbl>
    <w:p>
      <w:pPr>
        <w:spacing w:after="14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860A" w:sz="3"/>
              <w:left w:val="single" w:color="C8860A" w:sz="16"/>
              <w:bottom w:val="single" w:color="C8860A" w:sz="1"/>
              <w:right w:val="single" w:color="C8860A" w:sz="1"/>
            </w:tcBorders>
            <w:shd w:fill="FEF6E4" w:val="clear"/>
            <w:tcMar>
              <w:top w:type="dxa" w:w="120"/>
              <w:left w:type="dxa" w:w="180"/>
              <w:bottom w:type="dxa" w:w="120"/>
              <w:right w:type="dxa" w:w="180"/>
            </w:tcMar>
          </w:tcPr>
          <w:p>
            <w:pPr>
              <w:spacing w:after="80" w:before="0"/>
            </w:pPr>
            <w:r>
              <w:rPr>
                <w:rFonts w:ascii="Arial" w:cs="Arial" w:eastAsia="Arial" w:hAnsi="Arial"/>
                <w:b/>
                <w:bCs/>
                <w:color w:val="C8860A"/>
                <w:sz w:val="22"/>
                <w:szCs w:val="22"/>
              </w:rPr>
              <w:t xml:space="preserve">🔒  Data Privacy Guarantees</w:t>
            </w:r>
          </w:p>
          <w:p>
            <w:pPr>
              <w:spacing w:after="30" w:before="30"/>
            </w:pPr>
            <w:r>
              <w:rPr>
                <w:rFonts w:ascii="Arial" w:cs="Arial" w:eastAsia="Arial" w:hAnsi="Arial"/>
                <w:color w:val="374151"/>
                <w:sz w:val="20"/>
                <w:szCs w:val="20"/>
              </w:rPr>
              <w:t xml:space="preserve">Email body content NEVER transmitted to or stored on FinFlow servers — on-device NLP extracts metadata only</w:t>
            </w:r>
          </w:p>
          <w:p>
            <w:pPr>
              <w:spacing w:after="30" w:before="30"/>
            </w:pPr>
            <w:r>
              <w:rPr>
                <w:rFonts w:ascii="Arial" w:cs="Arial" w:eastAsia="Arial" w:hAnsi="Arial"/>
                <w:color w:val="374151"/>
                <w:sz w:val="20"/>
                <w:szCs w:val="20"/>
              </w:rPr>
              <w:t xml:space="preserve">All PII (email, name, account numbers) stored encrypted with user-specific KMS data keys</w:t>
            </w:r>
          </w:p>
          <w:p>
            <w:pPr>
              <w:spacing w:after="30" w:before="30"/>
            </w:pPr>
            <w:r>
              <w:rPr>
                <w:rFonts w:ascii="Arial" w:cs="Arial" w:eastAsia="Arial" w:hAnsi="Arial"/>
                <w:color w:val="374151"/>
                <w:sz w:val="20"/>
                <w:szCs w:val="20"/>
              </w:rPr>
              <w:t xml:space="preserve">GDPR Right to Erasure: deletion triggers async job to scrub all 9 service schemas within 30 days</w:t>
            </w:r>
          </w:p>
          <w:p>
            <w:pPr>
              <w:spacing w:after="30" w:before="30"/>
            </w:pPr>
            <w:r>
              <w:rPr>
                <w:rFonts w:ascii="Arial" w:cs="Arial" w:eastAsia="Arial" w:hAnsi="Arial"/>
                <w:color w:val="374151"/>
                <w:sz w:val="20"/>
                <w:szCs w:val="20"/>
              </w:rPr>
              <w:t xml:space="preserve">CCPA: full data export available within 24 hours via authenticated API endpoint</w:t>
            </w:r>
          </w:p>
          <w:p>
            <w:pPr>
              <w:spacing w:after="30" w:before="30"/>
            </w:pPr>
            <w:r>
              <w:rPr>
                <w:rFonts w:ascii="Arial" w:cs="Arial" w:eastAsia="Arial" w:hAnsi="Arial"/>
                <w:color w:val="374151"/>
                <w:sz w:val="20"/>
                <w:szCs w:val="20"/>
              </w:rPr>
              <w:t xml:space="preserve">Audit log: all PII access events recorded to CloudTrail with 7-year immutable retention</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9440"/>
      </w:tblGrid>
      <w:tr>
        <w:tc>
          <w:tcPr>
            <w:tcW w:type="dxa" w:w="640"/>
            <w:tcBorders>
              <w:top w:val="none"/>
              <w:left w:val="none"/>
              <w:bottom w:val="none"/>
              <w:right w:val="none"/>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06</w:t>
            </w:r>
          </w:p>
        </w:tc>
        <w:tc>
          <w:tcPr>
            <w:tcW w:type="dxa" w:w="9440"/>
            <w:tcBorders>
              <w:top w:val="none"/>
              <w:left w:val="none"/>
              <w:bottom w:val="single" w:color="007A6E" w:sz="3"/>
              <w:right w:val="none"/>
            </w:tcBorders>
            <w:shd w:fill="E6F4F2" w:val="clear"/>
            <w:tcMar>
              <w:top w:type="dxa" w:w="100"/>
              <w:left w:type="dxa" w:w="200"/>
              <w:bottom w:type="dxa" w:w="100"/>
              <w:right w:type="dxa" w:w="160"/>
            </w:tcMar>
            <w:vAlign w:val="center"/>
          </w:tcPr>
          <w:p>
            <w:pPr>
              <w:spacing w:after="30" w:before="0"/>
            </w:pPr>
            <w:r>
              <w:rPr>
                <w:rFonts w:ascii="Arial" w:cs="Arial" w:eastAsia="Arial" w:hAnsi="Arial"/>
                <w:b/>
                <w:bCs/>
                <w:color w:val="0D1B3E"/>
                <w:sz w:val="30"/>
                <w:szCs w:val="30"/>
              </w:rPr>
              <w:t xml:space="preserve">Integration Architecture</w:t>
            </w:r>
          </w:p>
          <w:p>
            <w:pPr>
              <w:spacing w:after="0" w:before="0"/>
            </w:pPr>
            <w:r>
              <w:rPr>
                <w:rFonts w:ascii="Arial" w:cs="Arial" w:eastAsia="Arial" w:hAnsi="Arial"/>
                <w:i/>
                <w:iCs/>
                <w:color w:val="007A6E"/>
                <w:sz w:val="18"/>
                <w:szCs w:val="18"/>
              </w:rPr>
              <w:t xml:space="preserve">Third-party services, aggregators, and external APIs</w:t>
            </w:r>
          </w:p>
        </w:tc>
      </w:tr>
    </w:tbl>
    <w:p>
      <w:pPr>
        <w:spacing w:after="16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200"/>
        <w:gridCol w:w="2680"/>
      </w:tblGrid>
      <w:tr>
        <w:trPr>
          <w:tblHeader/>
        </w:trPr>
        <w:tc>
          <w:tcPr>
            <w:tcW w:type="dxa" w:w="20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Integration</w:t>
            </w:r>
          </w:p>
        </w:tc>
        <w:tc>
          <w:tcPr>
            <w:tcW w:type="dxa" w:w="16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Provider</w:t>
            </w:r>
          </w:p>
        </w:tc>
        <w:tc>
          <w:tcPr>
            <w:tcW w:type="dxa" w:w="16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Protocol</w:t>
            </w:r>
          </w:p>
        </w:tc>
        <w:tc>
          <w:tcPr>
            <w:tcW w:type="dxa" w:w="22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Auth Method</w:t>
            </w:r>
          </w:p>
        </w:tc>
        <w:tc>
          <w:tcPr>
            <w:tcW w:type="dxa" w:w="26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Failure Strategy</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Bank Aggregation (Primary)</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Plaid</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REST + Webhooks</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OAuth 2.0 + HMAC webhook signing</w:t>
            </w:r>
          </w:p>
        </w:tc>
        <w:tc>
          <w:tcPr>
            <w:tcW w:type="dxa" w:w="26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Retry 3x → fallback to MX; serve stale data with timestamp</w:t>
            </w:r>
          </w:p>
        </w:tc>
      </w:tr>
      <w:tr>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Bank Aggregation (Fallback)</w:t>
            </w:r>
          </w:p>
        </w:tc>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MX Technologies</w:t>
            </w:r>
          </w:p>
        </w:tc>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REST</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OAuth 2.0</w:t>
            </w:r>
          </w:p>
        </w:tc>
        <w:tc>
          <w:tcPr>
            <w:tcW w:type="dxa" w:w="26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Auto-failover when Plaid error rate &gt; 10% in 60s window</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Email — Gmail</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Google</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Gmail API (REST)</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OAuth 2.0, read-only scope</w:t>
            </w:r>
          </w:p>
        </w:tc>
        <w:tc>
          <w:tcPr>
            <w:tcW w:type="dxa" w:w="26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Revocable; on failure show 'email disconnected' banner</w:t>
            </w:r>
          </w:p>
        </w:tc>
      </w:tr>
      <w:tr>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Email — Outlook</w:t>
            </w:r>
          </w:p>
        </w:tc>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Microsoft</w:t>
            </w:r>
          </w:p>
        </w:tc>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Microsoft Graph API</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OAuth 2.0, read scope</w:t>
            </w:r>
          </w:p>
        </w:tc>
        <w:tc>
          <w:tcPr>
            <w:tcW w:type="dxa" w:w="26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Same strategy as Gmail; independent token store</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Payments &amp; Billing</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Stripe</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REST + Webhooks</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API Key (server-side) + webhook secret</w:t>
            </w:r>
          </w:p>
        </w:tc>
        <w:tc>
          <w:tcPr>
            <w:tcW w:type="dxa" w:w="26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Outage → disable upgrade flow; retain current plan state</w:t>
            </w:r>
          </w:p>
        </w:tc>
      </w:tr>
      <w:tr>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Push Notifications</w:t>
            </w:r>
          </w:p>
        </w:tc>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Braze → FCM/APNs</w:t>
            </w:r>
          </w:p>
        </w:tc>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REST</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Server API Key</w:t>
            </w:r>
          </w:p>
        </w:tc>
        <w:tc>
          <w:tcPr>
            <w:tcW w:type="dxa" w:w="26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Braze queue buffers; max 24h retry window per notification</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Market Data (EOD)</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Intrinio / Polygon</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REST</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API Key (server-side)</w:t>
            </w:r>
          </w:p>
        </w:tc>
        <w:tc>
          <w:tcPr>
            <w:tcW w:type="dxa" w:w="26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Cache last good price; flag as stale if &gt; 24h old</w:t>
            </w:r>
          </w:p>
        </w:tc>
      </w:tr>
      <w:tr>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Transactional Email</w:t>
            </w:r>
          </w:p>
        </w:tc>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SendGrid</w:t>
            </w:r>
          </w:p>
        </w:tc>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REST</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API Key</w:t>
            </w:r>
          </w:p>
        </w:tc>
        <w:tc>
          <w:tcPr>
            <w:tcW w:type="dxa" w:w="26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Queue locally; retry with backoff; alert ops if &gt; 1h delay</w:t>
            </w:r>
          </w:p>
        </w:tc>
      </w:tr>
    </w:tbl>
    <w:p>
      <w:pPr>
        <w:spacing w:after="18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A6E" w:sz="3"/>
              <w:left w:val="single" w:color="007A6E" w:sz="16"/>
              <w:bottom w:val="single" w:color="007A6E" w:sz="1"/>
              <w:right w:val="single" w:color="007A6E" w:sz="1"/>
            </w:tcBorders>
            <w:shd w:fill="E6F4F2" w:val="clear"/>
            <w:tcMar>
              <w:top w:type="dxa" w:w="120"/>
              <w:left w:type="dxa" w:w="180"/>
              <w:bottom w:type="dxa" w:w="120"/>
              <w:right w:type="dxa" w:w="180"/>
            </w:tcMar>
          </w:tcPr>
          <w:p>
            <w:pPr>
              <w:spacing w:after="80" w:before="0"/>
            </w:pPr>
            <w:r>
              <w:rPr>
                <w:rFonts w:ascii="Arial" w:cs="Arial" w:eastAsia="Arial" w:hAnsi="Arial"/>
                <w:b/>
                <w:bCs/>
                <w:color w:val="007A6E"/>
                <w:sz w:val="22"/>
                <w:szCs w:val="22"/>
              </w:rPr>
              <w:t xml:space="preserve">🔄  Aggregator Resilience Pattern</w:t>
            </w:r>
          </w:p>
          <w:p>
            <w:pPr>
              <w:spacing w:after="30" w:before="30"/>
            </w:pPr>
            <w:r>
              <w:rPr>
                <w:rFonts w:ascii="Arial" w:cs="Arial" w:eastAsia="Arial" w:hAnsi="Arial"/>
                <w:color w:val="374151"/>
                <w:sz w:val="20"/>
                <w:szCs w:val="20"/>
              </w:rPr>
              <w:t xml:space="preserve">Primary: Plaid (12,000+ institutions, real-time webhooks) — preferred for webhook reliability and coverage</w:t>
            </w:r>
          </w:p>
          <w:p>
            <w:pPr>
              <w:spacing w:after="30" w:before="30"/>
            </w:pPr>
            <w:r>
              <w:rPr>
                <w:rFonts w:ascii="Arial" w:cs="Arial" w:eastAsia="Arial" w:hAnsi="Arial"/>
                <w:color w:val="374151"/>
                <w:sz w:val="20"/>
                <w:szCs w:val="20"/>
              </w:rPr>
              <w:t xml:space="preserve">Secondary: MX Technologies — automatic silent failover; user is never prompted; connection re-established in background</w:t>
            </w:r>
          </w:p>
          <w:p>
            <w:pPr>
              <w:spacing w:after="30" w:before="30"/>
            </w:pPr>
            <w:r>
              <w:rPr>
                <w:rFonts w:ascii="Arial" w:cs="Arial" w:eastAsia="Arial" w:hAnsi="Arial"/>
                <w:color w:val="374151"/>
                <w:sz w:val="20"/>
                <w:szCs w:val="20"/>
              </w:rPr>
              <w:t xml:space="preserve">Tertiary: Finicity — reserved for institutions not covered by Plaid or MX</w:t>
            </w:r>
          </w:p>
          <w:p>
            <w:pPr>
              <w:spacing w:after="30" w:before="30"/>
            </w:pPr>
            <w:r>
              <w:rPr>
                <w:rFonts w:ascii="Arial" w:cs="Arial" w:eastAsia="Arial" w:hAnsi="Arial"/>
                <w:color w:val="374151"/>
                <w:sz w:val="20"/>
                <w:szCs w:val="20"/>
              </w:rPr>
              <w:t xml:space="preserve">Degraded state: shows 'synced X hours ago' with manual refresh option; no hard errors exposed to user</w:t>
            </w:r>
          </w:p>
          <w:p>
            <w:pPr>
              <w:spacing w:after="30" w:before="30"/>
            </w:pPr>
            <w:r>
              <w:rPr>
                <w:rFonts w:ascii="Arial" w:cs="Arial" w:eastAsia="Arial" w:hAnsi="Arial"/>
                <w:color w:val="374151"/>
                <w:sz w:val="20"/>
                <w:szCs w:val="20"/>
              </w:rPr>
              <w:t xml:space="preserve">Health scoring: rolling 5-minute error rate per aggregator; PagerDuty alert if primary down &gt; 15 minutes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9440"/>
      </w:tblGrid>
      <w:tr>
        <w:tc>
          <w:tcPr>
            <w:tcW w:type="dxa" w:w="640"/>
            <w:tcBorders>
              <w:top w:val="none"/>
              <w:left w:val="none"/>
              <w:bottom w:val="none"/>
              <w:right w:val="none"/>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07</w:t>
            </w:r>
          </w:p>
        </w:tc>
        <w:tc>
          <w:tcPr>
            <w:tcW w:type="dxa" w:w="9440"/>
            <w:tcBorders>
              <w:top w:val="none"/>
              <w:left w:val="none"/>
              <w:bottom w:val="single" w:color="007A6E" w:sz="3"/>
              <w:right w:val="none"/>
            </w:tcBorders>
            <w:shd w:fill="E6F4F2" w:val="clear"/>
            <w:tcMar>
              <w:top w:type="dxa" w:w="100"/>
              <w:left w:type="dxa" w:w="200"/>
              <w:bottom w:type="dxa" w:w="100"/>
              <w:right w:type="dxa" w:w="160"/>
            </w:tcMar>
            <w:vAlign w:val="center"/>
          </w:tcPr>
          <w:p>
            <w:pPr>
              <w:spacing w:after="30" w:before="0"/>
            </w:pPr>
            <w:r>
              <w:rPr>
                <w:rFonts w:ascii="Arial" w:cs="Arial" w:eastAsia="Arial" w:hAnsi="Arial"/>
                <w:b/>
                <w:bCs/>
                <w:color w:val="0D1B3E"/>
                <w:sz w:val="30"/>
                <w:szCs w:val="30"/>
              </w:rPr>
              <w:t xml:space="preserve">Security Architecture</w:t>
            </w:r>
          </w:p>
          <w:p>
            <w:pPr>
              <w:spacing w:after="0" w:before="0"/>
            </w:pPr>
            <w:r>
              <w:rPr>
                <w:rFonts w:ascii="Arial" w:cs="Arial" w:eastAsia="Arial" w:hAnsi="Arial"/>
                <w:i/>
                <w:iCs/>
                <w:color w:val="007A6E"/>
                <w:sz w:val="18"/>
                <w:szCs w:val="18"/>
              </w:rPr>
              <w:t xml:space="preserve">Defense-in-depth across all tiers</w:t>
            </w:r>
          </w:p>
        </w:tc>
      </w:tr>
    </w:tbl>
    <w:p>
      <w:pPr>
        <w:spacing w:after="16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000"/>
        <w:gridCol w:w="1480"/>
      </w:tblGrid>
      <w:tr>
        <w:trPr>
          <w:tblHeader/>
        </w:trPr>
        <w:tc>
          <w:tcPr>
            <w:tcW w:type="dxa" w:w="22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Security Control</w:t>
            </w:r>
          </w:p>
        </w:tc>
        <w:tc>
          <w:tcPr>
            <w:tcW w:type="dxa" w:w="14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40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Implementation</w:t>
            </w:r>
          </w:p>
        </w:tc>
        <w:tc>
          <w:tcPr>
            <w:tcW w:type="dxa" w:w="14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Standard</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Encryption at Rest</w:t>
            </w:r>
          </w:p>
        </w:tc>
        <w:tc>
          <w:tcPr>
            <w:tcW w:type="dxa" w:w="1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Tier 4</w:t>
            </w:r>
          </w:p>
        </w:tc>
        <w:tc>
          <w:tcPr>
            <w:tcW w:type="dxa" w:w="4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AES-256 via AWS KMS; per-user data keys; automatic annual rotation</w:t>
            </w:r>
          </w:p>
        </w:tc>
        <w:tc>
          <w:tcPr>
            <w:tcW w:type="dxa" w:w="14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SOC 2, NIST</w:t>
            </w:r>
          </w:p>
        </w:tc>
      </w:tr>
      <w:tr>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Encryption in Transit</w:t>
            </w:r>
          </w:p>
        </w:tc>
        <w:tc>
          <w:tcPr>
            <w:tcW w:type="dxa" w:w="1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All Tiers</w:t>
            </w:r>
          </w:p>
        </w:tc>
        <w:tc>
          <w:tcPr>
            <w:tcW w:type="dxa" w:w="4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TLS 1.3 minimum; mTLS between internal services via App Mesh Envoy</w:t>
            </w:r>
          </w:p>
        </w:tc>
        <w:tc>
          <w:tcPr>
            <w:tcW w:type="dxa" w:w="14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PCI DSS, SOC 2</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Authentication</w:t>
            </w:r>
          </w:p>
        </w:tc>
        <w:tc>
          <w:tcPr>
            <w:tcW w:type="dxa" w:w="1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Tier 2</w:t>
            </w:r>
          </w:p>
        </w:tc>
        <w:tc>
          <w:tcPr>
            <w:tcW w:type="dxa" w:w="4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OAuth 2.0 / OIDC; JWT RS256 (15-min expiry); refresh token rotation on every use</w:t>
            </w:r>
          </w:p>
        </w:tc>
        <w:tc>
          <w:tcPr>
            <w:tcW w:type="dxa" w:w="14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RFC 6749, 7519</w:t>
            </w:r>
          </w:p>
        </w:tc>
      </w:tr>
      <w:tr>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Biometric Auth</w:t>
            </w:r>
          </w:p>
        </w:tc>
        <w:tc>
          <w:tcPr>
            <w:tcW w:type="dxa" w:w="1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Tier 1</w:t>
            </w:r>
          </w:p>
        </w:tc>
        <w:tc>
          <w:tcPr>
            <w:tcW w:type="dxa" w:w="4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Face ID / Fingerprint via platform keychain — biometric template never leaves device</w:t>
            </w:r>
          </w:p>
        </w:tc>
        <w:tc>
          <w:tcPr>
            <w:tcW w:type="dxa" w:w="14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FIDO2</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Zero Credential Storage</w:t>
            </w:r>
          </w:p>
        </w:tc>
        <w:tc>
          <w:tcPr>
            <w:tcW w:type="dxa" w:w="1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Tier 3</w:t>
            </w:r>
          </w:p>
        </w:tc>
        <w:tc>
          <w:tcPr>
            <w:tcW w:type="dxa" w:w="4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No bank passwords stored; only OAuth tokens from aggregators, encrypted at rest</w:t>
            </w:r>
          </w:p>
        </w:tc>
        <w:tc>
          <w:tcPr>
            <w:tcW w:type="dxa" w:w="14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SOC 2 Type II</w:t>
            </w:r>
          </w:p>
        </w:tc>
      </w:tr>
      <w:tr>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MFA &amp; Step-Up Auth</w:t>
            </w:r>
          </w:p>
        </w:tc>
        <w:tc>
          <w:tcPr>
            <w:tcW w:type="dxa" w:w="1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Tier 2</w:t>
            </w:r>
          </w:p>
        </w:tc>
        <w:tc>
          <w:tcPr>
            <w:tcW w:type="dxa" w:w="4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Anomalous IP/device triggers step-up; TOTP or push-based second factor required</w:t>
            </w:r>
          </w:p>
        </w:tc>
        <w:tc>
          <w:tcPr>
            <w:tcW w:type="dxa" w:w="14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NIST SP 800-63B</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WAF / DDoS</w:t>
            </w:r>
          </w:p>
        </w:tc>
        <w:tc>
          <w:tcPr>
            <w:tcW w:type="dxa" w:w="1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Tier 2</w:t>
            </w:r>
          </w:p>
        </w:tc>
        <w:tc>
          <w:tcPr>
            <w:tcW w:type="dxa" w:w="4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AWS WAF with OWASP managed rules; AWS Shield Standard; Redis token-bucket rate limiting</w:t>
            </w:r>
          </w:p>
        </w:tc>
        <w:tc>
          <w:tcPr>
            <w:tcW w:type="dxa" w:w="14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OWASP Top 10</w:t>
            </w:r>
          </w:p>
        </w:tc>
      </w:tr>
      <w:tr>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Secret Management</w:t>
            </w:r>
          </w:p>
        </w:tc>
        <w:tc>
          <w:tcPr>
            <w:tcW w:type="dxa" w:w="1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Tier 3/4</w:t>
            </w:r>
          </w:p>
        </w:tc>
        <w:tc>
          <w:tcPr>
            <w:tcW w:type="dxa" w:w="4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AWS Secrets Manager for API keys; auto-rotation for DB passwords every 90 days</w:t>
            </w:r>
          </w:p>
        </w:tc>
        <w:tc>
          <w:tcPr>
            <w:tcW w:type="dxa" w:w="14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SOC 2</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SAST / DAST</w:t>
            </w:r>
          </w:p>
        </w:tc>
        <w:tc>
          <w:tcPr>
            <w:tcW w:type="dxa" w:w="1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CI/CD</w:t>
            </w:r>
          </w:p>
        </w:tc>
        <w:tc>
          <w:tcPr>
            <w:tcW w:type="dxa" w:w="4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Snyk (SAST) on every PR; OWASP ZAP DAST on staging pre-release; no high/critical unblocked</w:t>
            </w:r>
          </w:p>
        </w:tc>
        <w:tc>
          <w:tcPr>
            <w:tcW w:type="dxa" w:w="14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DevSecOps</w:t>
            </w:r>
          </w:p>
        </w:tc>
      </w:tr>
      <w:tr>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Penetration Testing</w:t>
            </w:r>
          </w:p>
        </w:tc>
        <w:tc>
          <w:tcPr>
            <w:tcW w:type="dxa" w:w="1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Annual</w:t>
            </w:r>
          </w:p>
        </w:tc>
        <w:tc>
          <w:tcPr>
            <w:tcW w:type="dxa" w:w="4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Quarterly automated scans; annual third-party pen test engagement; bug bounty program</w:t>
            </w:r>
          </w:p>
        </w:tc>
        <w:tc>
          <w:tcPr>
            <w:tcW w:type="dxa" w:w="14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SOC 2 Type II</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Audit Logging</w:t>
            </w:r>
          </w:p>
        </w:tc>
        <w:tc>
          <w:tcPr>
            <w:tcW w:type="dxa" w:w="1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All Tiers</w:t>
            </w:r>
          </w:p>
        </w:tc>
        <w:tc>
          <w:tcPr>
            <w:tcW w:type="dxa" w:w="4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All auth events, PII access, admin actions → CloudTrail → S3 (7-year immutable)</w:t>
            </w:r>
          </w:p>
        </w:tc>
        <w:tc>
          <w:tcPr>
            <w:tcW w:type="dxa" w:w="14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GDPR, SOC 2</w:t>
            </w:r>
          </w:p>
        </w:tc>
      </w:tr>
      <w:tr>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Session Management</w:t>
            </w:r>
          </w:p>
        </w:tc>
        <w:tc>
          <w:tcPr>
            <w:tcW w:type="dxa" w:w="1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Tier 2</w:t>
            </w:r>
          </w:p>
        </w:tc>
        <w:tc>
          <w:tcPr>
            <w:tcW w:type="dxa" w:w="4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10-minute inactivity timeout (configurable); server-side session revocation on logout</w:t>
            </w:r>
          </w:p>
        </w:tc>
        <w:tc>
          <w:tcPr>
            <w:tcW w:type="dxa" w:w="14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OWASP ASVS</w:t>
            </w:r>
          </w:p>
        </w:tc>
      </w:tr>
    </w:tbl>
    <w:p>
      <w:pPr>
        <w:spacing w:after="18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1C1C" w:sz="3"/>
              <w:left w:val="single" w:color="B91C1C" w:sz="16"/>
              <w:bottom w:val="single" w:color="B91C1C" w:sz="1"/>
              <w:right w:val="single" w:color="B91C1C" w:sz="1"/>
            </w:tcBorders>
            <w:shd w:fill="FEF2F2" w:val="clear"/>
            <w:tcMar>
              <w:top w:type="dxa" w:w="120"/>
              <w:left w:type="dxa" w:w="180"/>
              <w:bottom w:type="dxa" w:w="120"/>
              <w:right w:type="dxa" w:w="180"/>
            </w:tcMar>
          </w:tcPr>
          <w:p>
            <w:pPr>
              <w:spacing w:after="80" w:before="0"/>
            </w:pPr>
            <w:r>
              <w:rPr>
                <w:rFonts w:ascii="Arial" w:cs="Arial" w:eastAsia="Arial" w:hAnsi="Arial"/>
                <w:b/>
                <w:bCs/>
                <w:color w:val="B91C1C"/>
                <w:sz w:val="22"/>
                <w:szCs w:val="22"/>
              </w:rPr>
              <w:t xml:space="preserve">🛡️  Privacy Compliance Summary</w:t>
            </w:r>
          </w:p>
          <w:p>
            <w:pPr>
              <w:spacing w:after="30" w:before="30"/>
            </w:pPr>
            <w:r>
              <w:rPr>
                <w:rFonts w:ascii="Arial" w:cs="Arial" w:eastAsia="Arial" w:hAnsi="Arial"/>
                <w:color w:val="374151"/>
                <w:sz w:val="20"/>
                <w:szCs w:val="20"/>
              </w:rPr>
              <w:t xml:space="preserve">GDPR Art. 17 (Right to Erasure): Async deletion job; completes across all 9 service schemas within 30 days</w:t>
            </w:r>
          </w:p>
          <w:p>
            <w:pPr>
              <w:spacing w:after="30" w:before="30"/>
            </w:pPr>
            <w:r>
              <w:rPr>
                <w:rFonts w:ascii="Arial" w:cs="Arial" w:eastAsia="Arial" w:hAnsi="Arial"/>
                <w:color w:val="374151"/>
                <w:sz w:val="20"/>
                <w:szCs w:val="20"/>
              </w:rPr>
              <w:t xml:space="preserve">GDPR Art. 20 (Data Portability): JSON export endpoint; authenticated; generated within 24 hours on request</w:t>
            </w:r>
          </w:p>
          <w:p>
            <w:pPr>
              <w:spacing w:after="30" w:before="30"/>
            </w:pPr>
            <w:r>
              <w:rPr>
                <w:rFonts w:ascii="Arial" w:cs="Arial" w:eastAsia="Arial" w:hAnsi="Arial"/>
                <w:color w:val="374151"/>
                <w:sz w:val="20"/>
                <w:szCs w:val="20"/>
              </w:rPr>
              <w:t xml:space="preserve">CCPA: 'Do Not Sell My Data' toggle in settings; honored within 24h; logged with immutable timestamp</w:t>
            </w:r>
          </w:p>
          <w:p>
            <w:pPr>
              <w:spacing w:after="30" w:before="30"/>
            </w:pPr>
            <w:r>
              <w:rPr>
                <w:rFonts w:ascii="Arial" w:cs="Arial" w:eastAsia="Arial" w:hAnsi="Arial"/>
                <w:color w:val="374151"/>
                <w:sz w:val="20"/>
                <w:szCs w:val="20"/>
              </w:rPr>
              <w:t xml:space="preserve">SOC 2 Type II: Annual audit scope covers security, availability, processing integrity, and confidentiality</w:t>
            </w:r>
          </w:p>
          <w:p>
            <w:pPr>
              <w:spacing w:after="30" w:before="30"/>
            </w:pPr>
            <w:r>
              <w:rPr>
                <w:rFonts w:ascii="Arial" w:cs="Arial" w:eastAsia="Arial" w:hAnsi="Arial"/>
                <w:color w:val="374151"/>
                <w:sz w:val="20"/>
                <w:szCs w:val="20"/>
              </w:rPr>
              <w:t xml:space="preserve">CFPB Aggregator Compliance: Legal review Q2 2026 — email transaction matching may trigger data aggregator regulations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9440"/>
      </w:tblGrid>
      <w:tr>
        <w:tc>
          <w:tcPr>
            <w:tcW w:type="dxa" w:w="640"/>
            <w:tcBorders>
              <w:top w:val="none"/>
              <w:left w:val="none"/>
              <w:bottom w:val="none"/>
              <w:right w:val="none"/>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08</w:t>
            </w:r>
          </w:p>
        </w:tc>
        <w:tc>
          <w:tcPr>
            <w:tcW w:type="dxa" w:w="9440"/>
            <w:tcBorders>
              <w:top w:val="none"/>
              <w:left w:val="none"/>
              <w:bottom w:val="single" w:color="007A6E" w:sz="3"/>
              <w:right w:val="none"/>
            </w:tcBorders>
            <w:shd w:fill="E6F4F2" w:val="clear"/>
            <w:tcMar>
              <w:top w:type="dxa" w:w="100"/>
              <w:left w:type="dxa" w:w="200"/>
              <w:bottom w:type="dxa" w:w="100"/>
              <w:right w:type="dxa" w:w="160"/>
            </w:tcMar>
            <w:vAlign w:val="center"/>
          </w:tcPr>
          <w:p>
            <w:pPr>
              <w:spacing w:after="30" w:before="0"/>
            </w:pPr>
            <w:r>
              <w:rPr>
                <w:rFonts w:ascii="Arial" w:cs="Arial" w:eastAsia="Arial" w:hAnsi="Arial"/>
                <w:b/>
                <w:bCs/>
                <w:color w:val="0D1B3E"/>
                <w:sz w:val="30"/>
                <w:szCs w:val="30"/>
              </w:rPr>
              <w:t xml:space="preserve">Infrastructure &amp; Deployment</w:t>
            </w:r>
          </w:p>
          <w:p>
            <w:pPr>
              <w:spacing w:after="0" w:before="0"/>
            </w:pPr>
            <w:r>
              <w:rPr>
                <w:rFonts w:ascii="Arial" w:cs="Arial" w:eastAsia="Arial" w:hAnsi="Arial"/>
                <w:i/>
                <w:iCs/>
                <w:color w:val="007A6E"/>
                <w:sz w:val="18"/>
                <w:szCs w:val="18"/>
              </w:rPr>
              <w:t xml:space="preserve">AWS topology, CI/CD, and environment strategy</w:t>
            </w:r>
          </w:p>
        </w:tc>
      </w:tr>
    </w:tbl>
    <w:p>
      <w:pPr>
        <w:spacing w:after="160" w:before="0"/>
      </w:pPr>
      <w:r>
        <w:rPr>
          <w:rFonts w:ascii="Arial" w:cs="Arial" w:eastAsia="Arial" w:hAnsi="Arial"/>
        </w:rPr>
        <w:t xml:space="preserve"/>
      </w:r>
    </w:p>
    <w:p>
      <w:pPr>
        <w:pStyle w:val="Heading2"/>
        <w:spacing w:after="120" w:before="280"/>
      </w:pPr>
      <w:r>
        <w:rPr>
          <w:rFonts w:ascii="Arial" w:cs="Arial" w:eastAsia="Arial" w:hAnsi="Arial"/>
          <w:b/>
          <w:bCs/>
        </w:rPr>
        <w:t xml:space="preserve">AWS Regional Topology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600"/>
        <w:gridCol w:w="2280"/>
      </w:tblGrid>
      <w:tr>
        <w:trPr>
          <w:tblHeader/>
        </w:trPr>
        <w:tc>
          <w:tcPr>
            <w:tcW w:type="dxa" w:w="24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Region</w:t>
            </w:r>
          </w:p>
        </w:tc>
        <w:tc>
          <w:tcPr>
            <w:tcW w:type="dxa" w:w="18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36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Services Active</w:t>
            </w:r>
          </w:p>
        </w:tc>
        <w:tc>
          <w:tcPr>
            <w:tcW w:type="dxa" w:w="22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RTO / RPO</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us-east-1 (N. Virginia)</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Primary</w:t>
            </w:r>
          </w:p>
        </w:tc>
        <w:tc>
          <w:tcPr>
            <w:tcW w:type="dxa" w:w="3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All services; primary Aurora cluster; SageMaker training jobs</w:t>
            </w:r>
          </w:p>
        </w:tc>
        <w:tc>
          <w:tcPr>
            <w:tcW w:type="dxa" w:w="22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N/A (primary region)</w:t>
            </w:r>
          </w:p>
        </w:tc>
      </w:tr>
      <w:tr>
        <w:tc>
          <w:tcPr>
            <w:tcW w:type="dxa" w:w="2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us-west-2 (Oregon)</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Passive Standby</w:t>
            </w:r>
          </w:p>
        </w:tc>
        <w:tc>
          <w:tcPr>
            <w:tcW w:type="dxa" w:w="3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Aurora read replicas; standby ECS clusters; S3 replication target</w:t>
            </w:r>
          </w:p>
        </w:tc>
        <w:tc>
          <w:tcPr>
            <w:tcW w:type="dxa" w:w="22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RTO: 15 min / RPO: 1 min</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eu-west-1 (Ireland)</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GDPR Data Residency</w:t>
            </w:r>
          </w:p>
        </w:tc>
        <w:tc>
          <w:tcPr>
            <w:tcW w:type="dxa" w:w="3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EU user data shards only; independent KMS; full GDPR isolation boundary</w:t>
            </w:r>
          </w:p>
        </w:tc>
        <w:tc>
          <w:tcPr>
            <w:tcW w:type="dxa" w:w="22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RTO: 30 min / RPO: 5 min</w:t>
            </w:r>
          </w:p>
        </w:tc>
      </w:tr>
    </w:tbl>
    <w:p>
      <w:pPr>
        <w:spacing w:after="160" w:before="0"/>
      </w:pPr>
      <w:r>
        <w:rPr>
          <w:rFonts w:ascii="Arial" w:cs="Arial" w:eastAsia="Arial" w:hAnsi="Arial"/>
        </w:rPr>
        <w:t xml:space="preserve"/>
      </w:r>
    </w:p>
    <w:p>
      <w:pPr>
        <w:pStyle w:val="Heading2"/>
        <w:spacing w:after="120" w:before="280"/>
      </w:pPr>
      <w:r>
        <w:rPr>
          <w:rFonts w:ascii="Arial" w:cs="Arial" w:eastAsia="Arial" w:hAnsi="Arial"/>
          <w:b/>
          <w:bCs/>
        </w:rPr>
        <w:t xml:space="preserve">CI/CD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000"/>
        <w:gridCol w:w="2780"/>
      </w:tblGrid>
      <w:tr>
        <w:trPr>
          <w:tblHeader/>
        </w:trPr>
        <w:tc>
          <w:tcPr>
            <w:tcW w:type="dxa" w:w="15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Stage</w:t>
            </w:r>
          </w:p>
        </w:tc>
        <w:tc>
          <w:tcPr>
            <w:tcW w:type="dxa" w:w="18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40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Actions</w:t>
            </w:r>
          </w:p>
        </w:tc>
        <w:tc>
          <w:tcPr>
            <w:tcW w:type="dxa" w:w="27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Gate / Pass Criteria</w:t>
            </w:r>
          </w:p>
        </w:tc>
      </w:tr>
      <w:tr>
        <w:tc>
          <w:tcPr>
            <w:tcW w:type="dxa" w:w="1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Source</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GitHub</w:t>
            </w:r>
          </w:p>
        </w:tc>
        <w:tc>
          <w:tcPr>
            <w:tcW w:type="dxa" w:w="4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 to feature branch; branch protection policy; 2 required reviewers</w:t>
            </w:r>
          </w:p>
        </w:tc>
        <w:tc>
          <w:tcPr>
            <w:tcW w:type="dxa" w:w="27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Merge requires 2 approvals + all CI checks green</w:t>
            </w:r>
          </w:p>
        </w:tc>
      </w:tr>
      <w:tr>
        <w:tc>
          <w:tcPr>
            <w:tcW w:type="dxa" w:w="1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Build</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GitHub Actions</w:t>
            </w:r>
          </w:p>
        </w:tc>
        <w:tc>
          <w:tcPr>
            <w:tcW w:type="dxa" w:w="4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Lint, type-check, unit tests, SAST (Snyk), Docker image build + scan</w:t>
            </w:r>
          </w:p>
        </w:tc>
        <w:tc>
          <w:tcPr>
            <w:tcW w:type="dxa" w:w="27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All checks green; no high/critical vulnerabilities unresolved</w:t>
            </w:r>
          </w:p>
        </w:tc>
      </w:tr>
      <w:tr>
        <w:tc>
          <w:tcPr>
            <w:tcW w:type="dxa" w:w="1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Integration Test</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GitHub Actions</w:t>
            </w:r>
          </w:p>
        </w:tc>
        <w:tc>
          <w:tcPr>
            <w:tcW w:type="dxa" w:w="4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API contract tests (Pact); DB migration dry-run against staging schema</w:t>
            </w:r>
          </w:p>
        </w:tc>
        <w:tc>
          <w:tcPr>
            <w:tcW w:type="dxa" w:w="27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100% contract coverage on all changed services</w:t>
            </w:r>
          </w:p>
        </w:tc>
      </w:tr>
      <w:tr>
        <w:tc>
          <w:tcPr>
            <w:tcW w:type="dxa" w:w="1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Staging Deploy</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AWS CodeDeploy</w:t>
            </w:r>
          </w:p>
        </w:tc>
        <w:tc>
          <w:tcPr>
            <w:tcW w:type="dxa" w:w="4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Blue/green deploy to staging environment; smoke test suite; DAST scan (ZAP)</w:t>
            </w:r>
          </w:p>
        </w:tc>
        <w:tc>
          <w:tcPr>
            <w:tcW w:type="dxa" w:w="27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Zero failing smoke tests; no new high DAST findings</w:t>
            </w:r>
          </w:p>
        </w:tc>
      </w:tr>
      <w:tr>
        <w:tc>
          <w:tcPr>
            <w:tcW w:type="dxa" w:w="1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Load Test</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k6</w:t>
            </w:r>
          </w:p>
        </w:tc>
        <w:tc>
          <w:tcPr>
            <w:tcW w:type="dxa" w:w="4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Replay 10% of production traffic patterns against staging cluster</w:t>
            </w:r>
          </w:p>
        </w:tc>
        <w:tc>
          <w:tcPr>
            <w:tcW w:type="dxa" w:w="27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p99 latency within 20% of baseline; zero error rate increase</w:t>
            </w:r>
          </w:p>
        </w:tc>
      </w:tr>
      <w:tr>
        <w:tc>
          <w:tcPr>
            <w:tcW w:type="dxa" w:w="1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Prod Deploy</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AWS CodeDeploy</w:t>
            </w:r>
          </w:p>
        </w:tc>
        <w:tc>
          <w:tcPr>
            <w:tcW w:type="dxa" w:w="4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Canary: 5% → 25% → 100% traffic over 30 min; automated rollback on error spike</w:t>
            </w:r>
          </w:p>
        </w:tc>
        <w:tc>
          <w:tcPr>
            <w:tcW w:type="dxa" w:w="27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Error rate &lt; 0.1% at each canary step for 5 minutes</w:t>
            </w:r>
          </w:p>
        </w:tc>
      </w:tr>
      <w:tr>
        <w:tc>
          <w:tcPr>
            <w:tcW w:type="dxa" w:w="1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Post-Deploy</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Datadog</w:t>
            </w:r>
          </w:p>
        </w:tc>
        <w:tc>
          <w:tcPr>
            <w:tcW w:type="dxa" w:w="4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Synthetic monitors active; metric anomaly detection; runbook link in alert</w:t>
            </w:r>
          </w:p>
        </w:tc>
        <w:tc>
          <w:tcPr>
            <w:tcW w:type="dxa" w:w="27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No P1 alerts triggered within 10 minutes post-deploy</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9440"/>
      </w:tblGrid>
      <w:tr>
        <w:tc>
          <w:tcPr>
            <w:tcW w:type="dxa" w:w="640"/>
            <w:tcBorders>
              <w:top w:val="none"/>
              <w:left w:val="none"/>
              <w:bottom w:val="none"/>
              <w:right w:val="none"/>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09</w:t>
            </w:r>
          </w:p>
        </w:tc>
        <w:tc>
          <w:tcPr>
            <w:tcW w:type="dxa" w:w="9440"/>
            <w:tcBorders>
              <w:top w:val="none"/>
              <w:left w:val="none"/>
              <w:bottom w:val="single" w:color="007A6E" w:sz="3"/>
              <w:right w:val="none"/>
            </w:tcBorders>
            <w:shd w:fill="E6F4F2" w:val="clear"/>
            <w:tcMar>
              <w:top w:type="dxa" w:w="100"/>
              <w:left w:type="dxa" w:w="200"/>
              <w:bottom w:type="dxa" w:w="100"/>
              <w:right w:type="dxa" w:w="160"/>
            </w:tcMar>
            <w:vAlign w:val="center"/>
          </w:tcPr>
          <w:p>
            <w:pPr>
              <w:spacing w:after="30" w:before="0"/>
            </w:pPr>
            <w:r>
              <w:rPr>
                <w:rFonts w:ascii="Arial" w:cs="Arial" w:eastAsia="Arial" w:hAnsi="Arial"/>
                <w:b/>
                <w:bCs/>
                <w:color w:val="0D1B3E"/>
                <w:sz w:val="30"/>
                <w:szCs w:val="30"/>
              </w:rPr>
              <w:t xml:space="preserve">Scalability &amp; Performance Design</w:t>
            </w:r>
          </w:p>
          <w:p>
            <w:pPr>
              <w:spacing w:after="0" w:before="0"/>
            </w:pPr>
            <w:r>
              <w:rPr>
                <w:rFonts w:ascii="Arial" w:cs="Arial" w:eastAsia="Arial" w:hAnsi="Arial"/>
                <w:i/>
                <w:iCs/>
                <w:color w:val="007A6E"/>
                <w:sz w:val="18"/>
                <w:szCs w:val="18"/>
              </w:rPr>
              <w:t xml:space="preserve">Capacity planning, caching strategy, and performance targets</w:t>
            </w:r>
          </w:p>
        </w:tc>
      </w:tr>
    </w:tbl>
    <w:p>
      <w:pPr>
        <w:spacing w:after="16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007A6E" w:sz="1"/>
              <w:left w:val="single" w:color="007A6E" w:sz="1"/>
              <w:bottom w:val="single" w:color="007A6E" w:sz="1"/>
              <w:right w:val="single" w:color="007A6E" w:sz="1"/>
            </w:tcBorders>
            <w:shd w:fill="0D1B3E" w:val="clear"/>
            <w:tcMar>
              <w:top w:type="dxa" w:w="140"/>
              <w:left w:type="dxa" w:w="120"/>
              <w:bottom w:type="dxa" w:w="140"/>
              <w:right w:type="dxa" w:w="120"/>
            </w:tcMar>
            <w:vAlign w:val="center"/>
          </w:tcPr>
          <w:p>
            <w:pPr>
              <w:jc w:val="center"/>
            </w:pPr>
            <w:r>
              <w:rPr>
                <w:rFonts w:ascii="Arial" w:cs="Arial" w:eastAsia="Arial" w:hAnsi="Arial"/>
                <w:b/>
                <w:bCs/>
                <w:color w:val="00A693"/>
                <w:sz w:val="32"/>
                <w:szCs w:val="32"/>
              </w:rPr>
              <w:t xml:space="preserve">5M</w:t>
            </w:r>
          </w:p>
          <w:p>
            <w:pPr>
              <w:jc w:val="center"/>
            </w:pPr>
            <w:r>
              <w:rPr>
                <w:rFonts w:ascii="Arial" w:cs="Arial" w:eastAsia="Arial" w:hAnsi="Arial"/>
                <w:color w:val="AABBCC"/>
                <w:sz w:val="17"/>
                <w:szCs w:val="17"/>
              </w:rPr>
              <w:t xml:space="preserve">Max Users</w:t>
            </w:r>
          </w:p>
        </w:tc>
        <w:tc>
          <w:tcPr>
            <w:tcW w:type="dxa" w:w="2016"/>
            <w:tcBorders>
              <w:top w:val="single" w:color="007A6E" w:sz="1"/>
              <w:left w:val="single" w:color="007A6E" w:sz="1"/>
              <w:bottom w:val="single" w:color="007A6E" w:sz="1"/>
              <w:right w:val="single" w:color="007A6E" w:sz="1"/>
            </w:tcBorders>
            <w:shd w:fill="2E3A59" w:val="clear"/>
            <w:tcMar>
              <w:top w:type="dxa" w:w="140"/>
              <w:left w:type="dxa" w:w="120"/>
              <w:bottom w:type="dxa" w:w="140"/>
              <w:right w:type="dxa" w:w="120"/>
            </w:tcMar>
            <w:vAlign w:val="center"/>
          </w:tcPr>
          <w:p>
            <w:pPr>
              <w:jc w:val="center"/>
            </w:pPr>
            <w:r>
              <w:rPr>
                <w:rFonts w:ascii="Arial" w:cs="Arial" w:eastAsia="Arial" w:hAnsi="Arial"/>
                <w:b/>
                <w:bCs/>
                <w:color w:val="00A693"/>
                <w:sz w:val="32"/>
                <w:szCs w:val="32"/>
              </w:rPr>
              <w:t xml:space="preserve">&lt;500ms</w:t>
            </w:r>
          </w:p>
          <w:p>
            <w:pPr>
              <w:jc w:val="center"/>
            </w:pPr>
            <w:r>
              <w:rPr>
                <w:rFonts w:ascii="Arial" w:cs="Arial" w:eastAsia="Arial" w:hAnsi="Arial"/>
                <w:color w:val="AABBCC"/>
                <w:sz w:val="17"/>
                <w:szCs w:val="17"/>
              </w:rPr>
              <w:t xml:space="preserve">Dashboard (cached)</w:t>
            </w:r>
          </w:p>
        </w:tc>
        <w:tc>
          <w:tcPr>
            <w:tcW w:type="dxa" w:w="2016"/>
            <w:tcBorders>
              <w:top w:val="single" w:color="007A6E" w:sz="1"/>
              <w:left w:val="single" w:color="007A6E" w:sz="1"/>
              <w:bottom w:val="single" w:color="007A6E" w:sz="1"/>
              <w:right w:val="single" w:color="007A6E" w:sz="1"/>
            </w:tcBorders>
            <w:shd w:fill="0D1B3E" w:val="clear"/>
            <w:tcMar>
              <w:top w:type="dxa" w:w="140"/>
              <w:left w:type="dxa" w:w="120"/>
              <w:bottom w:type="dxa" w:w="140"/>
              <w:right w:type="dxa" w:w="120"/>
            </w:tcMar>
            <w:vAlign w:val="center"/>
          </w:tcPr>
          <w:p>
            <w:pPr>
              <w:jc w:val="center"/>
            </w:pPr>
            <w:r>
              <w:rPr>
                <w:rFonts w:ascii="Arial" w:cs="Arial" w:eastAsia="Arial" w:hAnsi="Arial"/>
                <w:b/>
                <w:bCs/>
                <w:color w:val="00A693"/>
                <w:sz w:val="32"/>
                <w:szCs w:val="32"/>
              </w:rPr>
              <w:t xml:space="preserve">&lt;30s</w:t>
            </w:r>
          </w:p>
          <w:p>
            <w:pPr>
              <w:jc w:val="center"/>
            </w:pPr>
            <w:r>
              <w:rPr>
                <w:rFonts w:ascii="Arial" w:cs="Arial" w:eastAsia="Arial" w:hAnsi="Arial"/>
                <w:color w:val="AABBCC"/>
                <w:sz w:val="17"/>
                <w:szCs w:val="17"/>
              </w:rPr>
              <w:t xml:space="preserve">Account Sync</w:t>
            </w:r>
          </w:p>
        </w:tc>
        <w:tc>
          <w:tcPr>
            <w:tcW w:type="dxa" w:w="2016"/>
            <w:tcBorders>
              <w:top w:val="single" w:color="007A6E" w:sz="1"/>
              <w:left w:val="single" w:color="007A6E" w:sz="1"/>
              <w:bottom w:val="single" w:color="007A6E" w:sz="1"/>
              <w:right w:val="single" w:color="007A6E" w:sz="1"/>
            </w:tcBorders>
            <w:shd w:fill="2E3A59" w:val="clear"/>
            <w:tcMar>
              <w:top w:type="dxa" w:w="140"/>
              <w:left w:type="dxa" w:w="120"/>
              <w:bottom w:type="dxa" w:w="140"/>
              <w:right w:type="dxa" w:w="120"/>
            </w:tcMar>
            <w:vAlign w:val="center"/>
          </w:tcPr>
          <w:p>
            <w:pPr>
              <w:jc w:val="center"/>
            </w:pPr>
            <w:r>
              <w:rPr>
                <w:rFonts w:ascii="Arial" w:cs="Arial" w:eastAsia="Arial" w:hAnsi="Arial"/>
                <w:b/>
                <w:bCs/>
                <w:color w:val="00A693"/>
                <w:sz w:val="32"/>
                <w:szCs w:val="32"/>
              </w:rPr>
              <w:t xml:space="preserve">&lt;5min</w:t>
            </w:r>
          </w:p>
          <w:p>
            <w:pPr>
              <w:jc w:val="center"/>
            </w:pPr>
            <w:r>
              <w:rPr>
                <w:rFonts w:ascii="Arial" w:cs="Arial" w:eastAsia="Arial" w:hAnsi="Arial"/>
                <w:color w:val="AABBCC"/>
                <w:sz w:val="17"/>
                <w:szCs w:val="17"/>
              </w:rPr>
              <w:t xml:space="preserve">Email Pipeline</w:t>
            </w:r>
          </w:p>
        </w:tc>
        <w:tc>
          <w:tcPr>
            <w:tcW w:type="dxa" w:w="2016"/>
            <w:tcBorders>
              <w:top w:val="single" w:color="007A6E" w:sz="1"/>
              <w:left w:val="single" w:color="007A6E" w:sz="1"/>
              <w:bottom w:val="single" w:color="007A6E" w:sz="1"/>
              <w:right w:val="single" w:color="007A6E" w:sz="1"/>
            </w:tcBorders>
            <w:shd w:fill="0D1B3E" w:val="clear"/>
            <w:tcMar>
              <w:top w:type="dxa" w:w="140"/>
              <w:left w:type="dxa" w:w="120"/>
              <w:bottom w:type="dxa" w:w="140"/>
              <w:right w:type="dxa" w:w="120"/>
            </w:tcMar>
            <w:vAlign w:val="center"/>
          </w:tcPr>
          <w:p>
            <w:pPr>
              <w:jc w:val="center"/>
            </w:pPr>
            <w:r>
              <w:rPr>
                <w:rFonts w:ascii="Arial" w:cs="Arial" w:eastAsia="Arial" w:hAnsi="Arial"/>
                <w:b/>
                <w:bCs/>
                <w:color w:val="00A693"/>
                <w:sz w:val="32"/>
                <w:szCs w:val="32"/>
              </w:rPr>
              <w:t xml:space="preserve">&lt;60s</w:t>
            </w:r>
          </w:p>
          <w:p>
            <w:pPr>
              <w:jc w:val="center"/>
            </w:pPr>
            <w:r>
              <w:rPr>
                <w:rFonts w:ascii="Arial" w:cs="Arial" w:eastAsia="Arial" w:hAnsi="Arial"/>
                <w:color w:val="AABBCC"/>
                <w:sz w:val="17"/>
                <w:szCs w:val="17"/>
              </w:rPr>
              <w:t xml:space="preserve">Notification</w:t>
            </w:r>
          </w:p>
        </w:tc>
      </w:tr>
    </w:tbl>
    <w:p>
      <w:pPr>
        <w:spacing w:after="160" w:before="0"/>
      </w:pPr>
      <w:r>
        <w:rPr>
          <w:rFonts w:ascii="Arial" w:cs="Arial" w:eastAsia="Arial" w:hAnsi="Arial"/>
        </w:rPr>
        <w:t xml:space="preserve"/>
      </w:r>
    </w:p>
    <w:p>
      <w:pPr>
        <w:pStyle w:val="Heading2"/>
        <w:spacing w:after="120" w:before="280"/>
      </w:pPr>
      <w:r>
        <w:rPr>
          <w:rFonts w:ascii="Arial" w:cs="Arial" w:eastAsia="Arial" w:hAnsi="Arial"/>
          <w:b/>
          <w:bCs/>
        </w:rPr>
        <w:t xml:space="preserve">Caching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3200"/>
        <w:gridCol w:w="1880"/>
      </w:tblGrid>
      <w:tr>
        <w:trPr>
          <w:tblHeader/>
        </w:trPr>
        <w:tc>
          <w:tcPr>
            <w:tcW w:type="dxa" w:w="24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Cache Layer</w:t>
            </w:r>
          </w:p>
        </w:tc>
        <w:tc>
          <w:tcPr>
            <w:tcW w:type="dxa" w:w="12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Store</w:t>
            </w:r>
          </w:p>
        </w:tc>
        <w:tc>
          <w:tcPr>
            <w:tcW w:type="dxa" w:w="14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TTL</w:t>
            </w:r>
          </w:p>
        </w:tc>
        <w:tc>
          <w:tcPr>
            <w:tcW w:type="dxa" w:w="32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Invalidation Trigger</w:t>
            </w:r>
          </w:p>
        </w:tc>
        <w:tc>
          <w:tcPr>
            <w:tcW w:type="dxa" w:w="18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Hit Rate Target</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Account balances</w:t>
            </w:r>
          </w:p>
        </w:tc>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Redis</w:t>
            </w:r>
          </w:p>
        </w:tc>
        <w:tc>
          <w:tcPr>
            <w:tcW w:type="dxa" w:w="1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4 hours</w:t>
            </w:r>
          </w:p>
        </w:tc>
        <w:tc>
          <w:tcPr>
            <w:tcW w:type="dxa" w:w="3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Account sync webhook received</w:t>
            </w:r>
          </w:p>
        </w:tc>
        <w:tc>
          <w:tcPr>
            <w:tcW w:type="dxa" w:w="1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&gt; 85%</w:t>
            </w:r>
          </w:p>
        </w:tc>
      </w:tr>
      <w:tr>
        <w:tc>
          <w:tcPr>
            <w:tcW w:type="dxa" w:w="2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Safe to Spend value</w:t>
            </w:r>
          </w:p>
        </w:tc>
        <w:tc>
          <w:tcPr>
            <w:tcW w:type="dxa" w:w="1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Redis</w:t>
            </w:r>
          </w:p>
        </w:tc>
        <w:tc>
          <w:tcPr>
            <w:tcW w:type="dxa" w:w="1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5 minutes</w:t>
            </w:r>
          </w:p>
        </w:tc>
        <w:tc>
          <w:tcPr>
            <w:tcW w:type="dxa" w:w="3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New transaction OR bill detection event</w:t>
            </w:r>
          </w:p>
        </w:tc>
        <w:tc>
          <w:tcPr>
            <w:tcW w:type="dxa" w:w="1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&gt; 90%</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Transaction list</w:t>
            </w:r>
          </w:p>
        </w:tc>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Redis</w:t>
            </w:r>
          </w:p>
        </w:tc>
        <w:tc>
          <w:tcPr>
            <w:tcW w:type="dxa" w:w="1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30 minutes</w:t>
            </w:r>
          </w:p>
        </w:tc>
        <w:tc>
          <w:tcPr>
            <w:tcW w:type="dxa" w:w="3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New transaction created for account</w:t>
            </w:r>
          </w:p>
        </w:tc>
        <w:tc>
          <w:tcPr>
            <w:tcW w:type="dxa" w:w="1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&gt; 70%</w:t>
            </w:r>
          </w:p>
        </w:tc>
      </w:tr>
      <w:tr>
        <w:tc>
          <w:tcPr>
            <w:tcW w:type="dxa" w:w="2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Net worth snapshot</w:t>
            </w:r>
          </w:p>
        </w:tc>
        <w:tc>
          <w:tcPr>
            <w:tcW w:type="dxa" w:w="1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Redis</w:t>
            </w:r>
          </w:p>
        </w:tc>
        <w:tc>
          <w:tcPr>
            <w:tcW w:type="dxa" w:w="1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1 hour</w:t>
            </w:r>
          </w:p>
        </w:tc>
        <w:tc>
          <w:tcPr>
            <w:tcW w:type="dxa" w:w="3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Investment price update or new transaction</w:t>
            </w:r>
          </w:p>
        </w:tc>
        <w:tc>
          <w:tcPr>
            <w:tcW w:type="dxa" w:w="1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&gt; 80%</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Cashflow projection</w:t>
            </w:r>
          </w:p>
        </w:tc>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Redis</w:t>
            </w:r>
          </w:p>
        </w:tc>
        <w:tc>
          <w:tcPr>
            <w:tcW w:type="dxa" w:w="1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15 minutes</w:t>
            </w:r>
          </w:p>
        </w:tc>
        <w:tc>
          <w:tcPr>
            <w:tcW w:type="dxa" w:w="3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Cashflow engine recompute event</w:t>
            </w:r>
          </w:p>
        </w:tc>
        <w:tc>
          <w:tcPr>
            <w:tcW w:type="dxa" w:w="1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&gt; 75%</w:t>
            </w:r>
          </w:p>
        </w:tc>
      </w:tr>
      <w:tr>
        <w:tc>
          <w:tcPr>
            <w:tcW w:type="dxa" w:w="2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Static assets (web)</w:t>
            </w:r>
          </w:p>
        </w:tc>
        <w:tc>
          <w:tcPr>
            <w:tcW w:type="dxa" w:w="1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CloudFront</w:t>
            </w:r>
          </w:p>
        </w:tc>
        <w:tc>
          <w:tcPr>
            <w:tcW w:type="dxa" w:w="1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7 days</w:t>
            </w:r>
          </w:p>
        </w:tc>
        <w:tc>
          <w:tcPr>
            <w:tcW w:type="dxa" w:w="3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Content hash in URL (automatic cache-busting)</w:t>
            </w:r>
          </w:p>
        </w:tc>
        <w:tc>
          <w:tcPr>
            <w:tcW w:type="dxa" w:w="1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99%+</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Cacheable API GETs</w:t>
            </w:r>
          </w:p>
        </w:tc>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CloudFront</w:t>
            </w:r>
          </w:p>
        </w:tc>
        <w:tc>
          <w:tcPr>
            <w:tcW w:type="dxa" w:w="1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60 seconds</w:t>
            </w:r>
          </w:p>
        </w:tc>
        <w:tc>
          <w:tcPr>
            <w:tcW w:type="dxa" w:w="3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Explicit Cache-Control header per route</w:t>
            </w:r>
          </w:p>
        </w:tc>
        <w:tc>
          <w:tcPr>
            <w:tcW w:type="dxa" w:w="1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60%+</w:t>
            </w:r>
          </w:p>
        </w:tc>
      </w:tr>
    </w:tbl>
    <w:p>
      <w:pPr>
        <w:spacing w:after="160" w:before="0"/>
      </w:pPr>
      <w:r>
        <w:rPr>
          <w:rFonts w:ascii="Arial" w:cs="Arial" w:eastAsia="Arial" w:hAnsi="Arial"/>
        </w:rPr>
        <w:t xml:space="preserve"/>
      </w:r>
    </w:p>
    <w:p>
      <w:pPr>
        <w:pStyle w:val="Heading2"/>
        <w:spacing w:after="120" w:before="280"/>
      </w:pPr>
      <w:r>
        <w:rPr>
          <w:rFonts w:ascii="Arial" w:cs="Arial" w:eastAsia="Arial" w:hAnsi="Arial"/>
          <w:b/>
          <w:bCs/>
        </w:rPr>
        <w:t xml:space="preserve">Database Sharding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Parameter</w:t>
            </w:r>
          </w:p>
        </w:tc>
        <w:tc>
          <w:tcPr>
            <w:tcW w:type="dxa" w:w="76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Shard key</w:t>
            </w:r>
          </w:p>
        </w:tc>
        <w:tc>
          <w:tcPr>
            <w:tcW w:type="dxa" w:w="76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user_id (consistent hash) — all user data co-located on same shard; all user queries are single-shard</w:t>
            </w:r>
          </w:p>
        </w:tc>
      </w:tr>
      <w:tr>
        <w:tc>
          <w:tcPr>
            <w:tcW w:type="dxa" w:w="2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Initial topology</w:t>
            </w:r>
          </w:p>
        </w:tc>
        <w:tc>
          <w:tcPr>
            <w:tcW w:type="dxa" w:w="76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16 logical shards across 4 physical Aurora Serverless v2 clusters (4 logical shards per cluster)</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Read replicas</w:t>
            </w:r>
          </w:p>
        </w:tc>
        <w:tc>
          <w:tcPr>
            <w:tcW w:type="dxa" w:w="76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3 per physical cluster; replica lag &lt; 100ms; dashboard reads served from replica</w:t>
            </w:r>
          </w:p>
        </w:tc>
      </w:tr>
      <w:tr>
        <w:tc>
          <w:tcPr>
            <w:tcW w:type="dxa" w:w="2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Rebalancing</w:t>
            </w:r>
          </w:p>
        </w:tc>
        <w:tc>
          <w:tcPr>
            <w:tcW w:type="dxa" w:w="76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Logical sharding enables online rebalance via background migration jobs — no downtime required</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Dedup at scale</w:t>
            </w:r>
          </w:p>
        </w:tc>
        <w:tc>
          <w:tcPr>
            <w:tcW w:type="dxa" w:w="76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Bloom filter in Redis prevents duplicate transaction writes (false positive rate: 0.01%)</w:t>
            </w:r>
          </w:p>
        </w:tc>
      </w:tr>
      <w:tr>
        <w:tc>
          <w:tcPr>
            <w:tcW w:type="dxa" w:w="2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Analytics isolation</w:t>
            </w:r>
          </w:p>
        </w:tc>
        <w:tc>
          <w:tcPr>
            <w:tcW w:type="dxa" w:w="76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No cross-shard OLAP queries — analytics uses async Kinesis → S3 → Redshift pipeline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9440"/>
      </w:tblGrid>
      <w:tr>
        <w:tc>
          <w:tcPr>
            <w:tcW w:type="dxa" w:w="640"/>
            <w:tcBorders>
              <w:top w:val="none"/>
              <w:left w:val="none"/>
              <w:bottom w:val="none"/>
              <w:right w:val="none"/>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10</w:t>
            </w:r>
          </w:p>
        </w:tc>
        <w:tc>
          <w:tcPr>
            <w:tcW w:type="dxa" w:w="9440"/>
            <w:tcBorders>
              <w:top w:val="none"/>
              <w:left w:val="none"/>
              <w:bottom w:val="single" w:color="007A6E" w:sz="3"/>
              <w:right w:val="none"/>
            </w:tcBorders>
            <w:shd w:fill="E6F4F2" w:val="clear"/>
            <w:tcMar>
              <w:top w:type="dxa" w:w="100"/>
              <w:left w:type="dxa" w:w="200"/>
              <w:bottom w:type="dxa" w:w="100"/>
              <w:right w:type="dxa" w:w="160"/>
            </w:tcMar>
            <w:vAlign w:val="center"/>
          </w:tcPr>
          <w:p>
            <w:pPr>
              <w:spacing w:after="30" w:before="0"/>
            </w:pPr>
            <w:r>
              <w:rPr>
                <w:rFonts w:ascii="Arial" w:cs="Arial" w:eastAsia="Arial" w:hAnsi="Arial"/>
                <w:b/>
                <w:bCs/>
                <w:color w:val="0D1B3E"/>
                <w:sz w:val="30"/>
                <w:szCs w:val="30"/>
              </w:rPr>
              <w:t xml:space="preserve">Observability &amp; Monitoring</w:t>
            </w:r>
          </w:p>
          <w:p>
            <w:pPr>
              <w:spacing w:after="0" w:before="0"/>
            </w:pPr>
            <w:r>
              <w:rPr>
                <w:rFonts w:ascii="Arial" w:cs="Arial" w:eastAsia="Arial" w:hAnsi="Arial"/>
                <w:i/>
                <w:iCs/>
                <w:color w:val="007A6E"/>
                <w:sz w:val="18"/>
                <w:szCs w:val="18"/>
              </w:rPr>
              <w:t xml:space="preserve">Metrics, tracing, logging, and alerting strategy</w:t>
            </w:r>
          </w:p>
        </w:tc>
      </w:tr>
    </w:tbl>
    <w:p>
      <w:pPr>
        <w:spacing w:after="16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4200"/>
        <w:gridCol w:w="2080"/>
      </w:tblGrid>
      <w:tr>
        <w:trPr>
          <w:tblHeader/>
        </w:trPr>
        <w:tc>
          <w:tcPr>
            <w:tcW w:type="dxa" w:w="14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Pillar</w:t>
            </w:r>
          </w:p>
        </w:tc>
        <w:tc>
          <w:tcPr>
            <w:tcW w:type="dxa" w:w="24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Tooling</w:t>
            </w:r>
          </w:p>
        </w:tc>
        <w:tc>
          <w:tcPr>
            <w:tcW w:type="dxa" w:w="42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Signals</w:t>
            </w:r>
          </w:p>
        </w:tc>
        <w:tc>
          <w:tcPr>
            <w:tcW w:type="dxa" w:w="20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Retention</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Metrics</w:t>
            </w:r>
          </w:p>
        </w:tc>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Datadog APM + CloudWatch</w:t>
            </w:r>
          </w:p>
        </w:tc>
        <w:tc>
          <w:tcPr>
            <w:tcW w:type="dxa" w:w="4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Request rate, error rate, p50/p95/p99 latency per service; CPU/memory; cache hit rate; queue depth</w:t>
            </w:r>
          </w:p>
        </w:tc>
        <w:tc>
          <w:tcPr>
            <w:tcW w:type="dxa" w:w="20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13 months Datadog / 15 months CloudWatch</w:t>
            </w:r>
          </w:p>
        </w:tc>
      </w:tr>
      <w:tr>
        <w:tc>
          <w:tcPr>
            <w:tcW w:type="dxa" w:w="1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Tracing</w:t>
            </w:r>
          </w:p>
        </w:tc>
        <w:tc>
          <w:tcPr>
            <w:tcW w:type="dxa" w:w="2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AWS X-Ray + Datadog APM</w:t>
            </w:r>
          </w:p>
        </w:tc>
        <w:tc>
          <w:tcPr>
            <w:tcW w:type="dxa" w:w="4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Distributed trace per user request; span per service hop; DB query traces; external API latency</w:t>
            </w:r>
          </w:p>
        </w:tc>
        <w:tc>
          <w:tcPr>
            <w:tcW w:type="dxa" w:w="20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30 days full trace; 1% sampled long-term</w:t>
            </w:r>
          </w:p>
        </w:tc>
      </w:tr>
      <w:tr>
        <w:tc>
          <w:tcPr>
            <w:tcW w:type="dxa" w:w="1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Logging</w:t>
            </w:r>
          </w:p>
        </w:tc>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CloudWatch Logs → S3 + Datadog</w:t>
            </w:r>
          </w:p>
        </w:tc>
        <w:tc>
          <w:tcPr>
            <w:tcW w:type="dxa" w:w="4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Structured JSON; request_id + user_id correlation; error stacks; audit events; slow query log</w:t>
            </w:r>
          </w:p>
        </w:tc>
        <w:tc>
          <w:tcPr>
            <w:tcW w:type="dxa" w:w="20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7 years S3 archive; 30 days hot in Datadog</w:t>
            </w:r>
          </w:p>
        </w:tc>
      </w:tr>
    </w:tbl>
    <w:p>
      <w:pPr>
        <w:spacing w:after="160" w:before="0"/>
      </w:pPr>
      <w:r>
        <w:rPr>
          <w:rFonts w:ascii="Arial" w:cs="Arial" w:eastAsia="Arial" w:hAnsi="Arial"/>
        </w:rPr>
        <w:t xml:space="preserve"/>
      </w:r>
    </w:p>
    <w:p>
      <w:pPr>
        <w:pStyle w:val="Heading2"/>
        <w:spacing w:after="120" w:before="280"/>
      </w:pPr>
      <w:r>
        <w:rPr>
          <w:rFonts w:ascii="Arial" w:cs="Arial" w:eastAsia="Arial" w:hAnsi="Arial"/>
          <w:b/>
          <w:bCs/>
        </w:rPr>
        <w:t xml:space="preserve">SLO &amp; Alert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1000"/>
        <w:gridCol w:w="3080"/>
      </w:tblGrid>
      <w:tr>
        <w:trPr>
          <w:tblHeader/>
        </w:trPr>
        <w:tc>
          <w:tcPr>
            <w:tcW w:type="dxa" w:w="24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SLO</w:t>
            </w:r>
          </w:p>
        </w:tc>
        <w:tc>
          <w:tcPr>
            <w:tcW w:type="dxa" w:w="16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c>
          <w:tcPr>
            <w:tcW w:type="dxa" w:w="20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Alert Threshold</w:t>
            </w:r>
          </w:p>
        </w:tc>
        <w:tc>
          <w:tcPr>
            <w:tcW w:type="dxa" w:w="10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Severity</w:t>
            </w:r>
          </w:p>
        </w:tc>
        <w:tc>
          <w:tcPr>
            <w:tcW w:type="dxa" w:w="30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Runbook</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API availability</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99.9% / 30 days</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99.5% over 5 min</w:t>
            </w:r>
          </w:p>
        </w:tc>
        <w:tc>
          <w:tcPr>
            <w:tcW w:type="dxa" w:w="1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P1</w:t>
            </w:r>
          </w:p>
        </w:tc>
        <w:tc>
          <w:tcPr>
            <w:tcW w:type="dxa" w:w="30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RB-001: API GW Recovery</w:t>
            </w:r>
          </w:p>
        </w:tc>
      </w:tr>
      <w:tr>
        <w:tc>
          <w:tcPr>
            <w:tcW w:type="dxa" w:w="2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Dashboard load p99</w:t>
            </w:r>
          </w:p>
        </w:tc>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2,000ms</w:t>
            </w:r>
          </w:p>
        </w:tc>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&gt; 3,000ms over 5 min</w:t>
            </w:r>
          </w:p>
        </w:tc>
        <w:tc>
          <w:tcPr>
            <w:tcW w:type="dxa" w:w="1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P2</w:t>
            </w:r>
          </w:p>
        </w:tc>
        <w:tc>
          <w:tcPr>
            <w:tcW w:type="dxa" w:w="30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RB-002: Slow Dashboard</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Transaction sync lag</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30s end-to-end</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SQS age &gt; 120s at p95</w:t>
            </w:r>
          </w:p>
        </w:tc>
        <w:tc>
          <w:tcPr>
            <w:tcW w:type="dxa" w:w="1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P2</w:t>
            </w:r>
          </w:p>
        </w:tc>
        <w:tc>
          <w:tcPr>
            <w:tcW w:type="dxa" w:w="30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RB-003: Sync Pipeline Lag</w:t>
            </w:r>
          </w:p>
        </w:tc>
      </w:tr>
      <w:tr>
        <w:tc>
          <w:tcPr>
            <w:tcW w:type="dxa" w:w="2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Email pipeline</w:t>
            </w:r>
          </w:p>
        </w:tc>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5 min</w:t>
            </w:r>
          </w:p>
        </w:tc>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&gt; 10 min at p95</w:t>
            </w:r>
          </w:p>
        </w:tc>
        <w:tc>
          <w:tcPr>
            <w:tcW w:type="dxa" w:w="1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P3</w:t>
            </w:r>
          </w:p>
        </w:tc>
        <w:tc>
          <w:tcPr>
            <w:tcW w:type="dxa" w:w="30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RB-004: Email Delay</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Notification delivery</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60s</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&gt; 300s at p95</w:t>
            </w:r>
          </w:p>
        </w:tc>
        <w:tc>
          <w:tcPr>
            <w:tcW w:type="dxa" w:w="1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P3</w:t>
            </w:r>
          </w:p>
        </w:tc>
        <w:tc>
          <w:tcPr>
            <w:tcW w:type="dxa" w:w="30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RB-005: Notif Queue</w:t>
            </w:r>
          </w:p>
        </w:tc>
      </w:tr>
      <w:tr>
        <w:tc>
          <w:tcPr>
            <w:tcW w:type="dxa" w:w="2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Auth error rate</w:t>
            </w:r>
          </w:p>
        </w:tc>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0.1%</w:t>
            </w:r>
          </w:p>
        </w:tc>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&gt; 1% over 2 min</w:t>
            </w:r>
          </w:p>
        </w:tc>
        <w:tc>
          <w:tcPr>
            <w:tcW w:type="dxa" w:w="1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P1</w:t>
            </w:r>
          </w:p>
        </w:tc>
        <w:tc>
          <w:tcPr>
            <w:tcW w:type="dxa" w:w="30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RB-006: Auth Recovery</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ML categorize accuracy</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90%+ correct</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85% weekly eval</w:t>
            </w:r>
          </w:p>
        </w:tc>
        <w:tc>
          <w:tcPr>
            <w:tcW w:type="dxa" w:w="1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P3</w:t>
            </w:r>
          </w:p>
        </w:tc>
        <w:tc>
          <w:tcPr>
            <w:tcW w:type="dxa" w:w="30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RB-007: ML Model Drift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9440"/>
      </w:tblGrid>
      <w:tr>
        <w:tc>
          <w:tcPr>
            <w:tcW w:type="dxa" w:w="640"/>
            <w:tcBorders>
              <w:top w:val="none"/>
              <w:left w:val="none"/>
              <w:bottom w:val="none"/>
              <w:right w:val="none"/>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11</w:t>
            </w:r>
          </w:p>
        </w:tc>
        <w:tc>
          <w:tcPr>
            <w:tcW w:type="dxa" w:w="9440"/>
            <w:tcBorders>
              <w:top w:val="none"/>
              <w:left w:val="none"/>
              <w:bottom w:val="single" w:color="007A6E" w:sz="3"/>
              <w:right w:val="none"/>
            </w:tcBorders>
            <w:shd w:fill="E6F4F2" w:val="clear"/>
            <w:tcMar>
              <w:top w:type="dxa" w:w="100"/>
              <w:left w:type="dxa" w:w="200"/>
              <w:bottom w:type="dxa" w:w="100"/>
              <w:right w:type="dxa" w:w="160"/>
            </w:tcMar>
            <w:vAlign w:val="center"/>
          </w:tcPr>
          <w:p>
            <w:pPr>
              <w:spacing w:after="30" w:before="0"/>
            </w:pPr>
            <w:r>
              <w:rPr>
                <w:rFonts w:ascii="Arial" w:cs="Arial" w:eastAsia="Arial" w:hAnsi="Arial"/>
                <w:b/>
                <w:bCs/>
                <w:color w:val="0D1B3E"/>
                <w:sz w:val="30"/>
                <w:szCs w:val="30"/>
              </w:rPr>
              <w:t xml:space="preserve">Disaster Recovery &amp; Resilience</w:t>
            </w:r>
          </w:p>
          <w:p>
            <w:pPr>
              <w:spacing w:after="0" w:before="0"/>
            </w:pPr>
            <w:r>
              <w:rPr>
                <w:rFonts w:ascii="Arial" w:cs="Arial" w:eastAsia="Arial" w:hAnsi="Arial"/>
                <w:i/>
                <w:iCs/>
                <w:color w:val="007A6E"/>
                <w:sz w:val="18"/>
                <w:szCs w:val="18"/>
              </w:rPr>
              <w:t xml:space="preserve">Failure modes, RTO/RPO targets, and resilience patterns</w:t>
            </w:r>
          </w:p>
        </w:tc>
      </w:tr>
    </w:tbl>
    <w:p>
      <w:pPr>
        <w:spacing w:after="16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2000"/>
        <w:gridCol w:w="700"/>
        <w:gridCol w:w="700"/>
      </w:tblGrid>
      <w:tr>
        <w:trPr>
          <w:tblHeader/>
        </w:trPr>
        <w:tc>
          <w:tcPr>
            <w:tcW w:type="dxa" w:w="22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Failure Scenario</w:t>
            </w:r>
          </w:p>
        </w:tc>
        <w:tc>
          <w:tcPr>
            <w:tcW w:type="dxa" w:w="16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Detection</w:t>
            </w:r>
          </w:p>
        </w:tc>
        <w:tc>
          <w:tcPr>
            <w:tcW w:type="dxa" w:w="24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Automatic Response</w:t>
            </w:r>
          </w:p>
        </w:tc>
        <w:tc>
          <w:tcPr>
            <w:tcW w:type="dxa" w:w="20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Manual Escalation</w:t>
            </w:r>
          </w:p>
        </w:tc>
        <w:tc>
          <w:tcPr>
            <w:tcW w:type="dxa" w:w="7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RTO</w:t>
            </w:r>
          </w:p>
        </w:tc>
        <w:tc>
          <w:tcPr>
            <w:tcW w:type="dxa" w:w="7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RPO</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Primary DB failure</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Aurora health check + CW alarm</w:t>
            </w:r>
          </w:p>
        </w:tc>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Aurora auto-failover to standby</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Ops confirm; monitor replication catch-up</w:t>
            </w:r>
          </w:p>
        </w:tc>
        <w:tc>
          <w:tcPr>
            <w:tcW w:type="dxa" w:w="7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60s</w:t>
            </w:r>
          </w:p>
        </w:tc>
        <w:tc>
          <w:tcPr>
            <w:tcW w:type="dxa" w:w="7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1 min</w:t>
            </w:r>
          </w:p>
        </w:tc>
      </w:tr>
      <w:tr>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Primary region (us-east-1) down</w:t>
            </w:r>
          </w:p>
        </w:tc>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Route 53 health checks fail</w:t>
            </w:r>
          </w:p>
        </w:tc>
        <w:tc>
          <w:tcPr>
            <w:tcW w:type="dxa" w:w="2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DNS failover to us-west-2; replicas promoted</w:t>
            </w:r>
          </w:p>
        </w:tc>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Verify data integrity; customer comms</w:t>
            </w:r>
          </w:p>
        </w:tc>
        <w:tc>
          <w:tcPr>
            <w:tcW w:type="dxa" w:w="7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15 min</w:t>
            </w:r>
          </w:p>
        </w:tc>
        <w:tc>
          <w:tcPr>
            <w:tcW w:type="dxa" w:w="7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1 min</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Plaid API outage</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Error rate &gt; 10% for 60s</w:t>
            </w:r>
          </w:p>
        </w:tc>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Auto-failover to MX; serve stale data</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Escalate to Plaid support; notify customers</w:t>
            </w:r>
          </w:p>
        </w:tc>
        <w:tc>
          <w:tcPr>
            <w:tcW w:type="dxa" w:w="7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2 min</w:t>
            </w:r>
          </w:p>
        </w:tc>
        <w:tc>
          <w:tcPr>
            <w:tcW w:type="dxa" w:w="7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Stale (4h max)</w:t>
            </w:r>
          </w:p>
        </w:tc>
      </w:tr>
      <w:tr>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SageMaker endpoint failure</w:t>
            </w:r>
          </w:p>
        </w:tc>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Health check + latency spike</w:t>
            </w:r>
          </w:p>
        </w:tc>
        <w:tc>
          <w:tcPr>
            <w:tcW w:type="dxa" w:w="2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Route to cached predictions; flag for review</w:t>
            </w:r>
          </w:p>
        </w:tc>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Redeploy endpoint; trigger incident</w:t>
            </w:r>
          </w:p>
        </w:tc>
        <w:tc>
          <w:tcPr>
            <w:tcW w:type="dxa" w:w="7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5 min</w:t>
            </w:r>
          </w:p>
        </w:tc>
        <w:tc>
          <w:tcPr>
            <w:tcW w:type="dxa" w:w="7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Degraded service</w:t>
            </w:r>
          </w:p>
        </w:tc>
      </w:tr>
      <w:tr>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Redis cluster failure</w:t>
            </w:r>
          </w:p>
        </w:tc>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ElastiCache alarm</w:t>
            </w:r>
          </w:p>
        </w:tc>
        <w:tc>
          <w:tcPr>
            <w:tcW w:type="dxa" w:w="24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Automatic cluster failover to replica</w:t>
            </w:r>
          </w:p>
        </w:tc>
        <w:tc>
          <w:tcPr>
            <w:tcW w:type="dxa" w:w="20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Warm cache from DB; monitor miss spike</w:t>
            </w:r>
          </w:p>
        </w:tc>
        <w:tc>
          <w:tcPr>
            <w:tcW w:type="dxa" w:w="7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90s</w:t>
            </w:r>
          </w:p>
        </w:tc>
        <w:tc>
          <w:tcPr>
            <w:tcW w:type="dxa" w:w="7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Cache miss only</w:t>
            </w:r>
          </w:p>
        </w:tc>
      </w:tr>
      <w:tr>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DDoS attack</w:t>
            </w:r>
          </w:p>
        </w:tc>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WAF rate alert; traffic anomaly</w:t>
            </w:r>
          </w:p>
        </w:tc>
        <w:tc>
          <w:tcPr>
            <w:tcW w:type="dxa" w:w="24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Shield activates; WAF rules tighten; scale up</w:t>
            </w:r>
          </w:p>
        </w:tc>
        <w:tc>
          <w:tcPr>
            <w:tcW w:type="dxa" w:w="20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Contact AWS Shield Advanced; update rules</w:t>
            </w:r>
          </w:p>
        </w:tc>
        <w:tc>
          <w:tcPr>
            <w:tcW w:type="dxa" w:w="7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5 min</w:t>
            </w:r>
          </w:p>
        </w:tc>
        <w:tc>
          <w:tcPr>
            <w:tcW w:type="dxa" w:w="7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N/A</w:t>
            </w:r>
          </w:p>
        </w:tc>
      </w:tr>
    </w:tbl>
    <w:p>
      <w:pPr>
        <w:spacing w:after="16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A6E" w:sz="3"/>
              <w:left w:val="single" w:color="007A6E" w:sz="16"/>
              <w:bottom w:val="single" w:color="007A6E" w:sz="1"/>
              <w:right w:val="single" w:color="007A6E" w:sz="1"/>
            </w:tcBorders>
            <w:shd w:fill="E6F4F2" w:val="clear"/>
            <w:tcMar>
              <w:top w:type="dxa" w:w="120"/>
              <w:left w:type="dxa" w:w="180"/>
              <w:bottom w:type="dxa" w:w="120"/>
              <w:right w:type="dxa" w:w="180"/>
            </w:tcMar>
          </w:tcPr>
          <w:p>
            <w:pPr>
              <w:spacing w:after="80" w:before="0"/>
            </w:pPr>
            <w:r>
              <w:rPr>
                <w:rFonts w:ascii="Arial" w:cs="Arial" w:eastAsia="Arial" w:hAnsi="Arial"/>
                <w:b/>
                <w:bCs/>
                <w:color w:val="007A6E"/>
                <w:sz w:val="22"/>
                <w:szCs w:val="22"/>
              </w:rPr>
              <w:t xml:space="preserve">🔁  Resilience Patterns Applied</w:t>
            </w:r>
          </w:p>
          <w:p>
            <w:pPr>
              <w:spacing w:after="30" w:before="30"/>
            </w:pPr>
            <w:r>
              <w:rPr>
                <w:rFonts w:ascii="Arial" w:cs="Arial" w:eastAsia="Arial" w:hAnsi="Arial"/>
                <w:color w:val="374151"/>
                <w:sz w:val="20"/>
                <w:szCs w:val="20"/>
              </w:rPr>
              <w:t xml:space="preserve">Circuit Breaker: Envoy proxy per downstream; auto-opens on 5 consecutive failures; half-open probe every 30s</w:t>
            </w:r>
          </w:p>
          <w:p>
            <w:pPr>
              <w:spacing w:after="30" w:before="30"/>
            </w:pPr>
            <w:r>
              <w:rPr>
                <w:rFonts w:ascii="Arial" w:cs="Arial" w:eastAsia="Arial" w:hAnsi="Arial"/>
                <w:color w:val="374151"/>
                <w:sz w:val="20"/>
                <w:szCs w:val="20"/>
              </w:rPr>
              <w:t xml:space="preserve">Bulkhead: Each service runs in isolated ECS task group; one service's CPU storm cannot starve others</w:t>
            </w:r>
          </w:p>
          <w:p>
            <w:pPr>
              <w:spacing w:after="30" w:before="30"/>
            </w:pPr>
            <w:r>
              <w:rPr>
                <w:rFonts w:ascii="Arial" w:cs="Arial" w:eastAsia="Arial" w:hAnsi="Arial"/>
                <w:color w:val="374151"/>
                <w:sz w:val="20"/>
                <w:szCs w:val="20"/>
              </w:rPr>
              <w:t xml:space="preserve">Retry with Idempotency: Read operations retry 3x with exponential backoff; writes use idempotency keys</w:t>
            </w:r>
          </w:p>
          <w:p>
            <w:pPr>
              <w:spacing w:after="30" w:before="30"/>
            </w:pPr>
            <w:r>
              <w:rPr>
                <w:rFonts w:ascii="Arial" w:cs="Arial" w:eastAsia="Arial" w:hAnsi="Arial"/>
                <w:color w:val="374151"/>
                <w:sz w:val="20"/>
                <w:szCs w:val="20"/>
              </w:rPr>
              <w:t xml:space="preserve">Graceful Degradation: If Cashflow Engine is unavailable, dashboard renders last cached projection with 'data as of X'</w:t>
            </w:r>
          </w:p>
          <w:p>
            <w:pPr>
              <w:spacing w:after="30" w:before="30"/>
            </w:pPr>
            <w:r>
              <w:rPr>
                <w:rFonts w:ascii="Arial" w:cs="Arial" w:eastAsia="Arial" w:hAnsi="Arial"/>
                <w:color w:val="374151"/>
                <w:sz w:val="20"/>
                <w:szCs w:val="20"/>
              </w:rPr>
              <w:t xml:space="preserve">Dead Letter Queue: All SQS consumers have DLQ with 14-day retention; 3 failed retries trigger PagerDuty</w:t>
            </w:r>
          </w:p>
          <w:p>
            <w:pPr>
              <w:spacing w:after="30" w:before="30"/>
            </w:pPr>
            <w:r>
              <w:rPr>
                <w:rFonts w:ascii="Arial" w:cs="Arial" w:eastAsia="Arial" w:hAnsi="Arial"/>
                <w:color w:val="374151"/>
                <w:sz w:val="20"/>
                <w:szCs w:val="20"/>
              </w:rPr>
              <w:t xml:space="preserve">Chaos Engineering: Monthly GameDays on staging; runbooks tested against injected failures using Gremlin</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9440"/>
      </w:tblGrid>
      <w:tr>
        <w:tc>
          <w:tcPr>
            <w:tcW w:type="dxa" w:w="640"/>
            <w:tcBorders>
              <w:top w:val="none"/>
              <w:left w:val="none"/>
              <w:bottom w:val="none"/>
              <w:right w:val="none"/>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12</w:t>
            </w:r>
          </w:p>
        </w:tc>
        <w:tc>
          <w:tcPr>
            <w:tcW w:type="dxa" w:w="9440"/>
            <w:tcBorders>
              <w:top w:val="none"/>
              <w:left w:val="none"/>
              <w:bottom w:val="single" w:color="007A6E" w:sz="3"/>
              <w:right w:val="none"/>
            </w:tcBorders>
            <w:shd w:fill="E6F4F2" w:val="clear"/>
            <w:tcMar>
              <w:top w:type="dxa" w:w="100"/>
              <w:left w:type="dxa" w:w="200"/>
              <w:bottom w:type="dxa" w:w="100"/>
              <w:right w:type="dxa" w:w="160"/>
            </w:tcMar>
            <w:vAlign w:val="center"/>
          </w:tcPr>
          <w:p>
            <w:pPr>
              <w:spacing w:after="30" w:before="0"/>
            </w:pPr>
            <w:r>
              <w:rPr>
                <w:rFonts w:ascii="Arial" w:cs="Arial" w:eastAsia="Arial" w:hAnsi="Arial"/>
                <w:b/>
                <w:bCs/>
                <w:color w:val="0D1B3E"/>
                <w:sz w:val="30"/>
                <w:szCs w:val="30"/>
              </w:rPr>
              <w:t xml:space="preserve">Non-Functional Requirements Matrix</w:t>
            </w:r>
          </w:p>
          <w:p>
            <w:pPr>
              <w:spacing w:after="0" w:before="0"/>
            </w:pPr>
            <w:r>
              <w:rPr>
                <w:rFonts w:ascii="Arial" w:cs="Arial" w:eastAsia="Arial" w:hAnsi="Arial"/>
                <w:i/>
                <w:iCs/>
                <w:color w:val="007A6E"/>
                <w:sz w:val="18"/>
                <w:szCs w:val="18"/>
              </w:rPr>
              <w:t xml:space="preserve">Performance, security, compliance, and operational targets</w:t>
            </w:r>
          </w:p>
        </w:tc>
      </w:tr>
    </w:tbl>
    <w:p>
      <w:pPr>
        <w:spacing w:after="16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2500"/>
        <w:gridCol w:w="1580"/>
      </w:tblGrid>
      <w:tr>
        <w:trPr>
          <w:tblHeader/>
        </w:trPr>
        <w:tc>
          <w:tcPr>
            <w:tcW w:type="dxa" w:w="16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26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c>
          <w:tcPr>
            <w:tcW w:type="dxa" w:w="25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Measurement Method</w:t>
            </w:r>
          </w:p>
        </w:tc>
        <w:tc>
          <w:tcPr>
            <w:tcW w:type="dxa" w:w="15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Performance</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App cold start</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2 seconds</w:t>
            </w:r>
          </w:p>
        </w:tc>
        <w:tc>
          <w:tcPr>
            <w:tcW w:type="dxa" w:w="2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RUM median, iOS/Android</w:t>
            </w:r>
          </w:p>
        </w:tc>
        <w:tc>
          <w:tcPr>
            <w:tcW w:type="dxa" w:w="15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Target</w:t>
            </w:r>
          </w:p>
        </w:tc>
      </w:tr>
      <w:tr>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Performance</w:t>
            </w:r>
          </w:p>
        </w:tc>
        <w:tc>
          <w:tcPr>
            <w:tcW w:type="dxa" w:w="2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Dashboard load (cached)</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500ms</w:t>
            </w:r>
          </w:p>
        </w:tc>
        <w:tc>
          <w:tcPr>
            <w:tcW w:type="dxa" w:w="2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p99 APM trace</w:t>
            </w:r>
          </w:p>
        </w:tc>
        <w:tc>
          <w:tcPr>
            <w:tcW w:type="dxa" w:w="15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Target</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Performance</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Full account sync (&lt; 10 accounts)</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30 seconds</w:t>
            </w:r>
          </w:p>
        </w:tc>
        <w:tc>
          <w:tcPr>
            <w:tcW w:type="dxa" w:w="2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p95: webhook to dashboard update</w:t>
            </w:r>
          </w:p>
        </w:tc>
        <w:tc>
          <w:tcPr>
            <w:tcW w:type="dxa" w:w="15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Target</w:t>
            </w:r>
          </w:p>
        </w:tc>
      </w:tr>
      <w:tr>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Performance</w:t>
            </w:r>
          </w:p>
        </w:tc>
        <w:tc>
          <w:tcPr>
            <w:tcW w:type="dxa" w:w="2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Email pipeline completion</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5 minutes</w:t>
            </w:r>
          </w:p>
        </w:tc>
        <w:tc>
          <w:tcPr>
            <w:tcW w:type="dxa" w:w="2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SQS message age p95</w:t>
            </w:r>
          </w:p>
        </w:tc>
        <w:tc>
          <w:tcPr>
            <w:tcW w:type="dxa" w:w="15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Target</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Performance</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Notification delivery latency</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60 seconds</w:t>
            </w:r>
          </w:p>
        </w:tc>
        <w:tc>
          <w:tcPr>
            <w:tcW w:type="dxa" w:w="2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Braze delivery timestamp delta</w:t>
            </w:r>
          </w:p>
        </w:tc>
        <w:tc>
          <w:tcPr>
            <w:tcW w:type="dxa" w:w="15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Target</w:t>
            </w:r>
          </w:p>
        </w:tc>
      </w:tr>
      <w:tr>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Availability</w:t>
            </w:r>
          </w:p>
        </w:tc>
        <w:tc>
          <w:tcPr>
            <w:tcW w:type="dxa" w:w="2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API uptime SLA</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99.9% monthly</w:t>
            </w:r>
          </w:p>
        </w:tc>
        <w:tc>
          <w:tcPr>
            <w:tcW w:type="dxa" w:w="2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Synthetic monitor via Route 53</w:t>
            </w:r>
          </w:p>
        </w:tc>
        <w:tc>
          <w:tcPr>
            <w:tcW w:type="dxa" w:w="15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Target</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Scalability</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Max users without re-architecture</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5,000,000</w:t>
            </w:r>
          </w:p>
        </w:tc>
        <w:tc>
          <w:tcPr>
            <w:tcW w:type="dxa" w:w="2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Load test validation pre-launch</w:t>
            </w:r>
          </w:p>
        </w:tc>
        <w:tc>
          <w:tcPr>
            <w:tcW w:type="dxa" w:w="15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Target</w:t>
            </w:r>
          </w:p>
        </w:tc>
      </w:tr>
      <w:tr>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Scalability</w:t>
            </w:r>
          </w:p>
        </w:tc>
        <w:tc>
          <w:tcPr>
            <w:tcW w:type="dxa" w:w="2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Auto-scale response time</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90 seconds</w:t>
            </w:r>
          </w:p>
        </w:tc>
        <w:tc>
          <w:tcPr>
            <w:tcW w:type="dxa" w:w="2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ECS scale-out CloudWatch metric</w:t>
            </w:r>
          </w:p>
        </w:tc>
        <w:tc>
          <w:tcPr>
            <w:tcW w:type="dxa" w:w="15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Target</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Security</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Encryption at rest</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AES-256 via KMS</w:t>
            </w:r>
          </w:p>
        </w:tc>
        <w:tc>
          <w:tcPr>
            <w:tcW w:type="dxa" w:w="2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AWS KMS audit + encryption check</w:t>
            </w:r>
          </w:p>
        </w:tc>
        <w:tc>
          <w:tcPr>
            <w:tcW w:type="dxa" w:w="15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Required</w:t>
            </w:r>
          </w:p>
        </w:tc>
      </w:tr>
      <w:tr>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Security</w:t>
            </w:r>
          </w:p>
        </w:tc>
        <w:tc>
          <w:tcPr>
            <w:tcW w:type="dxa" w:w="2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Encryption in transit</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TLS 1.3 minimum</w:t>
            </w:r>
          </w:p>
        </w:tc>
        <w:tc>
          <w:tcPr>
            <w:tcW w:type="dxa" w:w="2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SSL Labs A+ rating on all endpoints</w:t>
            </w:r>
          </w:p>
        </w:tc>
        <w:tc>
          <w:tcPr>
            <w:tcW w:type="dxa" w:w="15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Required</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Security</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Penetration test cadence</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Annual (3rd party) + quarterly automated</w:t>
            </w:r>
          </w:p>
        </w:tc>
        <w:tc>
          <w:tcPr>
            <w:tcW w:type="dxa" w:w="2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Audit report delivery</w:t>
            </w:r>
          </w:p>
        </w:tc>
        <w:tc>
          <w:tcPr>
            <w:tcW w:type="dxa" w:w="15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Required</w:t>
            </w:r>
          </w:p>
        </w:tc>
      </w:tr>
      <w:tr>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Compliance</w:t>
            </w:r>
          </w:p>
        </w:tc>
        <w:tc>
          <w:tcPr>
            <w:tcW w:type="dxa" w:w="2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SOC 2 Type II</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Certified at launch</w:t>
            </w:r>
          </w:p>
        </w:tc>
        <w:tc>
          <w:tcPr>
            <w:tcW w:type="dxa" w:w="2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Annual external audit</w:t>
            </w:r>
          </w:p>
        </w:tc>
        <w:tc>
          <w:tcPr>
            <w:tcW w:type="dxa" w:w="15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Required</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Compliance</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GDPR erasure SLA</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30 days</w:t>
            </w:r>
          </w:p>
        </w:tc>
        <w:tc>
          <w:tcPr>
            <w:tcW w:type="dxa" w:w="2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Deletion job completion log</w:t>
            </w:r>
          </w:p>
        </w:tc>
        <w:tc>
          <w:tcPr>
            <w:tcW w:type="dxa" w:w="15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Required</w:t>
            </w:r>
          </w:p>
        </w:tc>
      </w:tr>
      <w:tr>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Compliance</w:t>
            </w:r>
          </w:p>
        </w:tc>
        <w:tc>
          <w:tcPr>
            <w:tcW w:type="dxa" w:w="2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CCPA data export SLA</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&lt; 24 hours</w:t>
            </w:r>
          </w:p>
        </w:tc>
        <w:tc>
          <w:tcPr>
            <w:tcW w:type="dxa" w:w="2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Export API response time measurement</w:t>
            </w:r>
          </w:p>
        </w:tc>
        <w:tc>
          <w:tcPr>
            <w:tcW w:type="dxa" w:w="15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Required</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Accessibility</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WCAG compliance</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2.1 Level AA</w:t>
            </w:r>
          </w:p>
        </w:tc>
        <w:tc>
          <w:tcPr>
            <w:tcW w:type="dxa" w:w="2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axe-core automated + quarterly manual audit</w:t>
            </w:r>
          </w:p>
        </w:tc>
        <w:tc>
          <w:tcPr>
            <w:tcW w:type="dxa" w:w="15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Required</w:t>
            </w:r>
          </w:p>
        </w:tc>
      </w:tr>
      <w:tr>
        <w:tc>
          <w:tcPr>
            <w:tcW w:type="dxa" w:w="1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Reliability</w:t>
            </w:r>
          </w:p>
        </w:tc>
        <w:tc>
          <w:tcPr>
            <w:tcW w:type="dxa" w:w="26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D30 user retention</w:t>
            </w:r>
          </w:p>
        </w:tc>
        <w:tc>
          <w:tcPr>
            <w:tcW w:type="dxa" w:w="1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&gt; 45%</w:t>
            </w:r>
          </w:p>
        </w:tc>
        <w:tc>
          <w:tcPr>
            <w:tcW w:type="dxa" w:w="25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Product analytics via Segment</w:t>
            </w:r>
          </w:p>
        </w:tc>
        <w:tc>
          <w:tcPr>
            <w:tcW w:type="dxa" w:w="15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Target</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Reliability</w:t>
            </w:r>
          </w:p>
        </w:tc>
        <w:tc>
          <w:tcPr>
            <w:tcW w:type="dxa" w:w="26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ML categorization accuracy</w:t>
            </w:r>
          </w:p>
        </w:tc>
        <w:tc>
          <w:tcPr>
            <w:tcW w:type="dxa" w:w="1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&gt; 90% correct</w:t>
            </w:r>
          </w:p>
        </w:tc>
        <w:tc>
          <w:tcPr>
            <w:tcW w:type="dxa" w:w="25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Weekly hold-out set evaluation</w:t>
            </w:r>
          </w:p>
        </w:tc>
        <w:tc>
          <w:tcPr>
            <w:tcW w:type="dxa" w:w="15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Target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9440"/>
      </w:tblGrid>
      <w:tr>
        <w:tc>
          <w:tcPr>
            <w:tcW w:type="dxa" w:w="640"/>
            <w:tcBorders>
              <w:top w:val="none"/>
              <w:left w:val="none"/>
              <w:bottom w:val="none"/>
              <w:right w:val="none"/>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13</w:t>
            </w:r>
          </w:p>
        </w:tc>
        <w:tc>
          <w:tcPr>
            <w:tcW w:type="dxa" w:w="9440"/>
            <w:tcBorders>
              <w:top w:val="none"/>
              <w:left w:val="none"/>
              <w:bottom w:val="single" w:color="007A6E" w:sz="3"/>
              <w:right w:val="none"/>
            </w:tcBorders>
            <w:shd w:fill="E6F4F2" w:val="clear"/>
            <w:tcMar>
              <w:top w:type="dxa" w:w="100"/>
              <w:left w:type="dxa" w:w="200"/>
              <w:bottom w:type="dxa" w:w="100"/>
              <w:right w:type="dxa" w:w="160"/>
            </w:tcMar>
            <w:vAlign w:val="center"/>
          </w:tcPr>
          <w:p>
            <w:pPr>
              <w:spacing w:after="30" w:before="0"/>
            </w:pPr>
            <w:r>
              <w:rPr>
                <w:rFonts w:ascii="Arial" w:cs="Arial" w:eastAsia="Arial" w:hAnsi="Arial"/>
                <w:b/>
                <w:bCs/>
                <w:color w:val="0D1B3E"/>
                <w:sz w:val="30"/>
                <w:szCs w:val="30"/>
              </w:rPr>
              <w:t xml:space="preserve">Technology Stack Summary</w:t>
            </w:r>
          </w:p>
          <w:p>
            <w:pPr>
              <w:spacing w:after="0" w:before="0"/>
            </w:pPr>
            <w:r>
              <w:rPr>
                <w:rFonts w:ascii="Arial" w:cs="Arial" w:eastAsia="Arial" w:hAnsi="Arial"/>
                <w:i/>
                <w:iCs/>
                <w:color w:val="007A6E"/>
                <w:sz w:val="18"/>
                <w:szCs w:val="18"/>
              </w:rPr>
              <w:t xml:space="preserve">Languages, frameworks, and infrastructure choices</w:t>
            </w:r>
          </w:p>
        </w:tc>
      </w:tr>
    </w:tbl>
    <w:p>
      <w:pPr>
        <w:spacing w:after="16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880"/>
      </w:tblGrid>
      <w:tr>
        <w:trPr>
          <w:tblHeader/>
        </w:trPr>
        <w:tc>
          <w:tcPr>
            <w:tcW w:type="dxa" w:w="12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80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3880"/>
            <w:tcBorders>
              <w:top w:val="single" w:color="0D1B3E" w:sz="1"/>
              <w:left w:val="single" w:color="0D1B3E" w:sz="1"/>
              <w:bottom w:val="single" w:color="0D1B3E" w:sz="1"/>
              <w:right w:val="single" w:color="0D1B3E" w:sz="1"/>
            </w:tcBorders>
            <w:shd w:fill="0D1B3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Justification</w:t>
            </w:r>
          </w:p>
        </w:tc>
      </w:tr>
      <w:tr>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Client</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iOS / Android App</w:t>
            </w:r>
          </w:p>
        </w:tc>
        <w:tc>
          <w:tcPr>
            <w:tcW w:type="dxa" w:w="2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React Native (Expo)</w:t>
            </w:r>
          </w:p>
        </w:tc>
        <w:tc>
          <w:tcPr>
            <w:tcW w:type="dxa" w:w="3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Single codebase; native biometric APIs; strong fintech ecosystem</w:t>
            </w:r>
          </w:p>
        </w:tc>
      </w:tr>
      <w:tr>
        <w:tc>
          <w:tcPr>
            <w:tcW w:type="dxa" w:w="1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Client</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Web App</w:t>
            </w:r>
          </w:p>
        </w:tc>
        <w:tc>
          <w:tcPr>
            <w:tcW w:type="dxa" w:w="2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Next.js + TypeScript</w:t>
            </w:r>
          </w:p>
        </w:tc>
        <w:tc>
          <w:tcPr>
            <w:tcW w:type="dxa" w:w="3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SSR for SEO/first paint; static export for CDN delivery</w:t>
            </w:r>
          </w:p>
        </w:tc>
      </w:tr>
      <w:tr>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Client</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State Management</w:t>
            </w:r>
          </w:p>
        </w:tc>
        <w:tc>
          <w:tcPr>
            <w:tcW w:type="dxa" w:w="2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Zustand + React Query</w:t>
            </w:r>
          </w:p>
        </w:tc>
        <w:tc>
          <w:tcPr>
            <w:tcW w:type="dxa" w:w="3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Lightweight; automatic cache invalidation on mutation</w:t>
            </w:r>
          </w:p>
        </w:tc>
      </w:tr>
      <w:tr>
        <w:tc>
          <w:tcPr>
            <w:tcW w:type="dxa" w:w="1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Client</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Local DB (mobile)</w:t>
            </w:r>
          </w:p>
        </w:tc>
        <w:tc>
          <w:tcPr>
            <w:tcW w:type="dxa" w:w="2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SQLite via expo-sqlite</w:t>
            </w:r>
          </w:p>
        </w:tc>
        <w:tc>
          <w:tcPr>
            <w:tcW w:type="dxa" w:w="3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Offline-first; fast local reads; encrypted at rest</w:t>
            </w:r>
          </w:p>
        </w:tc>
      </w:tr>
      <w:tr>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API Gateway</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GraphQL Gateway</w:t>
            </w:r>
          </w:p>
        </w:tc>
        <w:tc>
          <w:tcPr>
            <w:tcW w:type="dxa" w:w="2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Apollo Server + Federation</w:t>
            </w:r>
          </w:p>
        </w:tc>
        <w:tc>
          <w:tcPr>
            <w:tcW w:type="dxa" w:w="3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Field-level auth; composable schema; DataLoader N+1 prevention</w:t>
            </w:r>
          </w:p>
        </w:tc>
      </w:tr>
      <w:tr>
        <w:tc>
          <w:tcPr>
            <w:tcW w:type="dxa" w:w="1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API Gateway</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Auth / Identity</w:t>
            </w:r>
          </w:p>
        </w:tc>
        <w:tc>
          <w:tcPr>
            <w:tcW w:type="dxa" w:w="2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Auth0 (OIDC/OAuth2)</w:t>
            </w:r>
          </w:p>
        </w:tc>
        <w:tc>
          <w:tcPr>
            <w:tcW w:type="dxa" w:w="3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SOC 2 compliant; MFA built-in; audit logs included out of box</w:t>
            </w:r>
          </w:p>
        </w:tc>
      </w:tr>
      <w:tr>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API Gateway</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WAF / CDN</w:t>
            </w:r>
          </w:p>
        </w:tc>
        <w:tc>
          <w:tcPr>
            <w:tcW w:type="dxa" w:w="2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AWS WAF + CloudFront</w:t>
            </w:r>
          </w:p>
        </w:tc>
        <w:tc>
          <w:tcPr>
            <w:tcW w:type="dxa" w:w="3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Managed OWASP rules; global edge; tight ALB/S3 integration</w:t>
            </w:r>
          </w:p>
        </w:tc>
      </w:tr>
      <w:tr>
        <w:tc>
          <w:tcPr>
            <w:tcW w:type="dxa" w:w="1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Services</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API Services</w:t>
            </w:r>
          </w:p>
        </w:tc>
        <w:tc>
          <w:tcPr>
            <w:tcW w:type="dxa" w:w="2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Node.js (TypeScript)</w:t>
            </w:r>
          </w:p>
        </w:tc>
        <w:tc>
          <w:tcPr>
            <w:tcW w:type="dxa" w:w="3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Async I/O well-suited for aggregator API orchestration workloads</w:t>
            </w:r>
          </w:p>
        </w:tc>
      </w:tr>
      <w:tr>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Services</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ML / Data Pipeline</w:t>
            </w:r>
          </w:p>
        </w:tc>
        <w:tc>
          <w:tcPr>
            <w:tcW w:type="dxa" w:w="2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Python 3.11</w:t>
            </w:r>
          </w:p>
        </w:tc>
        <w:tc>
          <w:tcPr>
            <w:tcW w:type="dxa" w:w="3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Rich ML ecosystem: scikit-learn, HuggingFace transformers, pandas</w:t>
            </w:r>
          </w:p>
        </w:tc>
      </w:tr>
      <w:tr>
        <w:tc>
          <w:tcPr>
            <w:tcW w:type="dxa" w:w="1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Services</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Event Streaming</w:t>
            </w:r>
          </w:p>
        </w:tc>
        <w:tc>
          <w:tcPr>
            <w:tcW w:type="dxa" w:w="2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Amazon SQS + SNS</w:t>
            </w:r>
          </w:p>
        </w:tc>
        <w:tc>
          <w:tcPr>
            <w:tcW w:type="dxa" w:w="3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Managed; at-least-once delivery; DLQ for error isolation</w:t>
            </w:r>
          </w:p>
        </w:tc>
      </w:tr>
      <w:tr>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Services</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High-throughput Events</w:t>
            </w:r>
          </w:p>
        </w:tc>
        <w:tc>
          <w:tcPr>
            <w:tcW w:type="dxa" w:w="2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Amazon Kinesis</w:t>
            </w:r>
          </w:p>
        </w:tc>
        <w:tc>
          <w:tcPr>
            <w:tcW w:type="dxa" w:w="3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Streaming for ML feature pipeline; replay capability</w:t>
            </w:r>
          </w:p>
        </w:tc>
      </w:tr>
      <w:tr>
        <w:tc>
          <w:tcPr>
            <w:tcW w:type="dxa" w:w="1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Services</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Service Mesh</w:t>
            </w:r>
          </w:p>
        </w:tc>
        <w:tc>
          <w:tcPr>
            <w:tcW w:type="dxa" w:w="2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AWS App Mesh (Envoy)</w:t>
            </w:r>
          </w:p>
        </w:tc>
        <w:tc>
          <w:tcPr>
            <w:tcW w:type="dxa" w:w="3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mTLS, circuit breaking, distributed tracing — fully managed</w:t>
            </w:r>
          </w:p>
        </w:tc>
      </w:tr>
      <w:tr>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Data</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Primary Database</w:t>
            </w:r>
          </w:p>
        </w:tc>
        <w:tc>
          <w:tcPr>
            <w:tcW w:type="dxa" w:w="2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Amazon Aurora PostgreSQL</w:t>
            </w:r>
          </w:p>
        </w:tc>
        <w:tc>
          <w:tcPr>
            <w:tcW w:type="dxa" w:w="3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Serverless v2 auto-scale; PITR; global replication ready</w:t>
            </w:r>
          </w:p>
        </w:tc>
      </w:tr>
      <w:tr>
        <w:tc>
          <w:tcPr>
            <w:tcW w:type="dxa" w:w="1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Data</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Cache</w:t>
            </w:r>
          </w:p>
        </w:tc>
        <w:tc>
          <w:tcPr>
            <w:tcW w:type="dxa" w:w="2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Amazon ElastiCache Redis</w:t>
            </w:r>
          </w:p>
        </w:tc>
        <w:tc>
          <w:tcPr>
            <w:tcW w:type="dxa" w:w="3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Sub-millisecond reads; cluster mode; managed failover</w:t>
            </w:r>
          </w:p>
        </w:tc>
      </w:tr>
      <w:tr>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Data</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KV Store</w:t>
            </w:r>
          </w:p>
        </w:tc>
        <w:tc>
          <w:tcPr>
            <w:tcW w:type="dxa" w:w="2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Amazon DynamoDB</w:t>
            </w:r>
          </w:p>
        </w:tc>
        <w:tc>
          <w:tcPr>
            <w:tcW w:type="dxa" w:w="3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Unlimited scale; single-digit ms; ideal for notification + token store</w:t>
            </w:r>
          </w:p>
        </w:tc>
      </w:tr>
      <w:tr>
        <w:tc>
          <w:tcPr>
            <w:tcW w:type="dxa" w:w="1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Data</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Object Storage</w:t>
            </w:r>
          </w:p>
        </w:tc>
        <w:tc>
          <w:tcPr>
            <w:tcW w:type="dxa" w:w="2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Amazon S3 + Glacier</w:t>
            </w:r>
          </w:p>
        </w:tc>
        <w:tc>
          <w:tcPr>
            <w:tcW w:type="dxa" w:w="3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Raw events + ML data; automatic lifecycle to Glacier after 90 days</w:t>
            </w:r>
          </w:p>
        </w:tc>
      </w:tr>
      <w:tr>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Data</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ML Platform</w:t>
            </w:r>
          </w:p>
        </w:tc>
        <w:tc>
          <w:tcPr>
            <w:tcW w:type="dxa" w:w="2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Amazon SageMaker</w:t>
            </w:r>
          </w:p>
        </w:tc>
        <w:tc>
          <w:tcPr>
            <w:tcW w:type="dxa" w:w="3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Managed training + inference; A/B endpoints; feature store</w:t>
            </w:r>
          </w:p>
        </w:tc>
      </w:tr>
      <w:tr>
        <w:tc>
          <w:tcPr>
            <w:tcW w:type="dxa" w:w="1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Data</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Encryption Key Mgmt</w:t>
            </w:r>
          </w:p>
        </w:tc>
        <w:tc>
          <w:tcPr>
            <w:tcW w:type="dxa" w:w="2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AWS KMS</w:t>
            </w:r>
          </w:p>
        </w:tc>
        <w:tc>
          <w:tcPr>
            <w:tcW w:type="dxa" w:w="3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Hardware-backed; automatic rotation; CloudTrail audit trail</w:t>
            </w:r>
          </w:p>
        </w:tc>
      </w:tr>
      <w:tr>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DevOps</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Containers</w:t>
            </w:r>
          </w:p>
        </w:tc>
        <w:tc>
          <w:tcPr>
            <w:tcW w:type="dxa" w:w="2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Amazon ECS Fargate</w:t>
            </w:r>
          </w:p>
        </w:tc>
        <w:tc>
          <w:tcPr>
            <w:tcW w:type="dxa" w:w="3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Serverless containers; no EC2 management; VPC networking</w:t>
            </w:r>
          </w:p>
        </w:tc>
      </w:tr>
      <w:tr>
        <w:tc>
          <w:tcPr>
            <w:tcW w:type="dxa" w:w="1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DevOps</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CI/CD</w:t>
            </w:r>
          </w:p>
        </w:tc>
        <w:tc>
          <w:tcPr>
            <w:tcW w:type="dxa" w:w="2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GitHub Actions + CodeDeploy</w:t>
            </w:r>
          </w:p>
        </w:tc>
        <w:tc>
          <w:tcPr>
            <w:tcW w:type="dxa" w:w="3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PR-gated pipeline; canary deploys; auto-rollback on error spike</w:t>
            </w:r>
          </w:p>
        </w:tc>
      </w:tr>
      <w:tr>
        <w:tc>
          <w:tcPr>
            <w:tcW w:type="dxa" w:w="1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DevOps</w:t>
            </w:r>
          </w:p>
        </w:tc>
        <w:tc>
          <w:tcPr>
            <w:tcW w:type="dxa" w:w="22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Observability</w:t>
            </w:r>
          </w:p>
        </w:tc>
        <w:tc>
          <w:tcPr>
            <w:tcW w:type="dxa" w:w="280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Datadog APM + CloudWatch</w:t>
            </w:r>
          </w:p>
        </w:tc>
        <w:tc>
          <w:tcPr>
            <w:tcW w:type="dxa" w:w="3880"/>
            <w:tcBorders>
              <w:top w:val="single" w:color="D1D9E6" w:sz="1"/>
              <w:left w:val="single" w:color="D1D9E6" w:sz="1"/>
              <w:bottom w:val="single" w:color="D1D9E6" w:sz="1"/>
              <w:right w:val="single" w:color="D1D9E6" w:sz="1"/>
            </w:tcBorders>
            <w:shd w:fill="FFFFFF"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Full-stack APM; log correlation; synthetic monitors; dashboards</w:t>
            </w:r>
          </w:p>
        </w:tc>
      </w:tr>
      <w:tr>
        <w:tc>
          <w:tcPr>
            <w:tcW w:type="dxa" w:w="1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DevOps</w:t>
            </w:r>
          </w:p>
        </w:tc>
        <w:tc>
          <w:tcPr>
            <w:tcW w:type="dxa" w:w="22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Infrastructure as Code</w:t>
            </w:r>
          </w:p>
        </w:tc>
        <w:tc>
          <w:tcPr>
            <w:tcW w:type="dxa" w:w="280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AWS CDK (TypeScript)</w:t>
            </w:r>
          </w:p>
        </w:tc>
        <w:tc>
          <w:tcPr>
            <w:tcW w:type="dxa" w:w="3880"/>
            <w:tcBorders>
              <w:top w:val="single" w:color="D1D9E6" w:sz="1"/>
              <w:left w:val="single" w:color="D1D9E6" w:sz="1"/>
              <w:bottom w:val="single" w:color="D1D9E6" w:sz="1"/>
              <w:right w:val="single" w:color="D1D9E6" w:sz="1"/>
            </w:tcBorders>
            <w:shd w:fill="F8F9FC" w:val="clear"/>
            <w:tcMar>
              <w:top w:type="dxa" w:w="80"/>
              <w:left w:type="dxa" w:w="140"/>
              <w:bottom w:type="dxa" w:w="80"/>
              <w:right w:type="dxa" w:w="140"/>
            </w:tcMar>
            <w:vAlign w:val="top"/>
          </w:tcPr>
          <w:p>
            <w:pPr>
              <w:spacing w:after="20" w:before="20"/>
            </w:pPr>
            <w:r>
              <w:rPr>
                <w:rFonts w:ascii="Arial" w:cs="Arial" w:eastAsia="Arial" w:hAnsi="Arial"/>
                <w:sz w:val="20"/>
                <w:szCs w:val="20"/>
              </w:rPr>
              <w:t xml:space="preserve">Type-safe IaC; reusable constructs; diff preview on every PR</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9440"/>
      </w:tblGrid>
      <w:tr>
        <w:tc>
          <w:tcPr>
            <w:tcW w:type="dxa" w:w="640"/>
            <w:tcBorders>
              <w:top w:val="none"/>
              <w:left w:val="none"/>
              <w:bottom w:val="none"/>
              <w:right w:val="none"/>
            </w:tcBorders>
            <w:shd w:fill="007A6E"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14</w:t>
            </w:r>
          </w:p>
        </w:tc>
        <w:tc>
          <w:tcPr>
            <w:tcW w:type="dxa" w:w="9440"/>
            <w:tcBorders>
              <w:top w:val="none"/>
              <w:left w:val="none"/>
              <w:bottom w:val="single" w:color="007A6E" w:sz="3"/>
              <w:right w:val="none"/>
            </w:tcBorders>
            <w:shd w:fill="E6F4F2" w:val="clear"/>
            <w:tcMar>
              <w:top w:type="dxa" w:w="100"/>
              <w:left w:type="dxa" w:w="200"/>
              <w:bottom w:type="dxa" w:w="100"/>
              <w:right w:type="dxa" w:w="160"/>
            </w:tcMar>
            <w:vAlign w:val="center"/>
          </w:tcPr>
          <w:p>
            <w:pPr>
              <w:spacing w:after="30" w:before="0"/>
            </w:pPr>
            <w:r>
              <w:rPr>
                <w:rFonts w:ascii="Arial" w:cs="Arial" w:eastAsia="Arial" w:hAnsi="Arial"/>
                <w:b/>
                <w:bCs/>
                <w:color w:val="0D1B3E"/>
                <w:sz w:val="30"/>
                <w:szCs w:val="30"/>
              </w:rPr>
              <w:t xml:space="preserve">Architectural Decision Records</w:t>
            </w:r>
          </w:p>
          <w:p>
            <w:pPr>
              <w:spacing w:after="0" w:before="0"/>
            </w:pPr>
            <w:r>
              <w:rPr>
                <w:rFonts w:ascii="Arial" w:cs="Arial" w:eastAsia="Arial" w:hAnsi="Arial"/>
                <w:i/>
                <w:iCs/>
                <w:color w:val="007A6E"/>
                <w:sz w:val="18"/>
                <w:szCs w:val="18"/>
              </w:rPr>
              <w:t xml:space="preserve">Key decisions, alternatives considered, and rationale</w:t>
            </w:r>
          </w:p>
        </w:tc>
      </w:tr>
    </w:tbl>
    <w:p>
      <w:pPr>
        <w:spacing w:after="16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007A6E" w:sz="20"/>
              <w:bottom w:val="none"/>
              <w:right w:val="none"/>
            </w:tcBorders>
            <w:shd w:fill="E6F4F2" w:val="clear"/>
            <w:tcMar>
              <w:top w:type="dxa" w:w="120"/>
              <w:left w:type="dxa" w:w="200"/>
              <w:bottom w:type="dxa" w:w="120"/>
              <w:right w:type="dxa" w:w="160"/>
            </w:tcMar>
          </w:tcPr>
          <w:p>
            <w:pPr>
              <w:spacing w:after="100" w:before="0"/>
            </w:pPr>
            <w:r>
              <w:rPr>
                <w:rFonts w:ascii="Arial" w:cs="Arial" w:eastAsia="Arial" w:hAnsi="Arial"/>
                <w:b/>
                <w:bCs/>
                <w:color w:val="007A6E"/>
                <w:sz w:val="20"/>
                <w:szCs w:val="20"/>
              </w:rPr>
              <w:t xml:space="preserve">ADR-001</w:t>
            </w:r>
            <w:r>
              <w:rPr>
                <w:rFonts w:ascii="Arial" w:cs="Arial" w:eastAsia="Arial" w:hAnsi="Arial"/>
              </w:rPr>
              <w:t xml:space="preserve">   </w:t>
            </w:r>
            <w:r>
              <w:rPr>
                <w:rFonts w:ascii="Arial" w:cs="Arial" w:eastAsia="Arial" w:hAnsi="Arial"/>
                <w:b/>
                <w:bCs/>
                <w:color w:val="0D1B3E"/>
                <w:sz w:val="22"/>
                <w:szCs w:val="22"/>
              </w:rPr>
              <w:t xml:space="preserve">Multi-Aggregator Strategy (Plaid primary, MX fallback)</w:t>
            </w:r>
            <w:r>
              <w:rPr>
                <w:rFonts w:ascii="Arial" w:cs="Arial" w:eastAsia="Arial" w:hAnsi="Arial"/>
              </w:rPr>
              <w:t xml:space="preserve">   </w:t>
            </w:r>
            <w:r>
              <w:rPr>
                <w:rFonts w:ascii="Arial" w:cs="Arial" w:eastAsia="Arial" w:hAnsi="Arial"/>
                <w:b/>
                <w:bCs/>
                <w:color w:val="007A6E"/>
                <w:sz w:val="17"/>
                <w:szCs w:val="17"/>
              </w:rPr>
              <w:t xml:space="preserve">ACCEPTED</w:t>
            </w:r>
            <w:r>
              <w:rPr>
                <w:rFonts w:ascii="Arial" w:cs="Arial" w:eastAsia="Arial" w:hAnsi="Arial"/>
                <w:color w:val="6B7280"/>
                <w:sz w:val="17"/>
                <w:szCs w:val="17"/>
              </w:rPr>
              <w:t xml:space="preserve">  ·  Jan 2026</w:t>
            </w:r>
          </w:p>
          <w:p>
            <w:pPr>
              <w:spacing w:after="80" w:before="0"/>
            </w:pPr>
            <w:r>
              <w:rPr>
                <w:rFonts w:ascii="Arial" w:cs="Arial" w:eastAsia="Arial" w:hAnsi="Arial"/>
                <w:b/>
                <w:bCs/>
                <w:color w:val="111827"/>
                <w:sz w:val="19"/>
                <w:szCs w:val="19"/>
              </w:rPr>
              <w:t xml:space="preserve">Context: </w:t>
            </w:r>
            <w:r>
              <w:rPr>
                <w:rFonts w:ascii="Arial" w:cs="Arial" w:eastAsia="Arial" w:hAnsi="Arial"/>
                <w:color w:val="374151"/>
                <w:sz w:val="19"/>
                <w:szCs w:val="19"/>
              </w:rPr>
              <w:t xml:space="preserve">Single aggregator dependency creates catastrophic failure risk for the core value proposition. Plaid outages have historically lasted 2–4 hours and directly break FinFlow's primary feature.</w:t>
            </w:r>
          </w:p>
          <w:p>
            <w:pPr>
              <w:spacing w:after="80" w:before="0"/>
            </w:pPr>
            <w:r>
              <w:rPr>
                <w:rFonts w:ascii="Arial" w:cs="Arial" w:eastAsia="Arial" w:hAnsi="Arial"/>
                <w:b/>
                <w:bCs/>
                <w:color w:val="111827"/>
                <w:sz w:val="19"/>
                <w:szCs w:val="19"/>
              </w:rPr>
              <w:t xml:space="preserve">Decision: </w:t>
            </w:r>
            <w:r>
              <w:rPr>
                <w:rFonts w:ascii="Arial" w:cs="Arial" w:eastAsia="Arial" w:hAnsi="Arial"/>
                <w:color w:val="374151"/>
                <w:sz w:val="19"/>
                <w:szCs w:val="19"/>
              </w:rPr>
              <w:t xml:space="preserve">Maintain active integrations with Plaid (primary) and MX (fallback). Automatic silent failover triggered when Plaid error rate exceeds 10% in any 60-second window. Finicity as tertiary for coverage gaps.</w:t>
            </w:r>
          </w:p>
          <w:p>
            <w:pPr>
              <w:spacing w:after="80" w:before="0"/>
            </w:pPr>
            <w:r>
              <w:rPr>
                <w:rFonts w:ascii="Arial" w:cs="Arial" w:eastAsia="Arial" w:hAnsi="Arial"/>
                <w:b/>
                <w:bCs/>
                <w:color w:val="111827"/>
                <w:sz w:val="19"/>
                <w:szCs w:val="19"/>
              </w:rPr>
              <w:t xml:space="preserve">Consequences: </w:t>
            </w:r>
            <w:r>
              <w:rPr>
                <w:rFonts w:ascii="Arial" w:cs="Arial" w:eastAsia="Arial" w:hAnsi="Arial"/>
                <w:color w:val="374151"/>
                <w:sz w:val="19"/>
                <w:szCs w:val="19"/>
              </w:rPr>
              <w:t xml:space="preserve">Higher integration cost (~$0.05/month/user more). Requires dual token management per user. Eliminates single-aggregator outage risk entirely.</w:t>
            </w:r>
          </w:p>
          <w:p>
            <w:pPr>
              <w:spacing w:after="0" w:before="0"/>
            </w:pPr>
            <w:r>
              <w:rPr>
                <w:rFonts w:ascii="Arial" w:cs="Arial" w:eastAsia="Arial" w:hAnsi="Arial"/>
                <w:b/>
                <w:bCs/>
                <w:color w:val="111827"/>
                <w:sz w:val="19"/>
                <w:szCs w:val="19"/>
              </w:rPr>
              <w:t xml:space="preserve">Alternatives Rejected: </w:t>
            </w:r>
            <w:r>
              <w:rPr>
                <w:rFonts w:ascii="Arial" w:cs="Arial" w:eastAsia="Arial" w:hAnsi="Arial"/>
                <w:color w:val="374151"/>
                <w:sz w:val="19"/>
                <w:szCs w:val="19"/>
              </w:rPr>
              <w:t xml:space="preserve">Single aggregator (simpler, cheaper) — rejected due to availability risk and direct customer trust impact.</w:t>
            </w:r>
          </w:p>
        </w:tc>
      </w:tr>
    </w:tbl>
    <w:p>
      <w:pPr>
        <w:spacing w:after="12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007A6E" w:sz="20"/>
              <w:bottom w:val="none"/>
              <w:right w:val="none"/>
            </w:tcBorders>
            <w:shd w:fill="E6F4F2" w:val="clear"/>
            <w:tcMar>
              <w:top w:type="dxa" w:w="120"/>
              <w:left w:type="dxa" w:w="200"/>
              <w:bottom w:type="dxa" w:w="120"/>
              <w:right w:type="dxa" w:w="160"/>
            </w:tcMar>
          </w:tcPr>
          <w:p>
            <w:pPr>
              <w:spacing w:after="100" w:before="0"/>
            </w:pPr>
            <w:r>
              <w:rPr>
                <w:rFonts w:ascii="Arial" w:cs="Arial" w:eastAsia="Arial" w:hAnsi="Arial"/>
                <w:b/>
                <w:bCs/>
                <w:color w:val="007A6E"/>
                <w:sz w:val="20"/>
                <w:szCs w:val="20"/>
              </w:rPr>
              <w:t xml:space="preserve">ADR-002</w:t>
            </w:r>
            <w:r>
              <w:rPr>
                <w:rFonts w:ascii="Arial" w:cs="Arial" w:eastAsia="Arial" w:hAnsi="Arial"/>
              </w:rPr>
              <w:t xml:space="preserve">   </w:t>
            </w:r>
            <w:r>
              <w:rPr>
                <w:rFonts w:ascii="Arial" w:cs="Arial" w:eastAsia="Arial" w:hAnsi="Arial"/>
                <w:b/>
                <w:bCs/>
                <w:color w:val="0D1B3E"/>
                <w:sz w:val="22"/>
                <w:szCs w:val="22"/>
              </w:rPr>
              <w:t xml:space="preserve">On-Device NLP Pre-Filter for Email Intelligence</w:t>
            </w:r>
            <w:r>
              <w:rPr>
                <w:rFonts w:ascii="Arial" w:cs="Arial" w:eastAsia="Arial" w:hAnsi="Arial"/>
              </w:rPr>
              <w:t xml:space="preserve">   </w:t>
            </w:r>
            <w:r>
              <w:rPr>
                <w:rFonts w:ascii="Arial" w:cs="Arial" w:eastAsia="Arial" w:hAnsi="Arial"/>
                <w:b/>
                <w:bCs/>
                <w:color w:val="007A6E"/>
                <w:sz w:val="17"/>
                <w:szCs w:val="17"/>
              </w:rPr>
              <w:t xml:space="preserve">ACCEPTED</w:t>
            </w:r>
            <w:r>
              <w:rPr>
                <w:rFonts w:ascii="Arial" w:cs="Arial" w:eastAsia="Arial" w:hAnsi="Arial"/>
                <w:color w:val="6B7280"/>
                <w:sz w:val="17"/>
                <w:szCs w:val="17"/>
              </w:rPr>
              <w:t xml:space="preserve">  ·  Jan 2026</w:t>
            </w:r>
          </w:p>
          <w:p>
            <w:pPr>
              <w:spacing w:after="80" w:before="0"/>
            </w:pPr>
            <w:r>
              <w:rPr>
                <w:rFonts w:ascii="Arial" w:cs="Arial" w:eastAsia="Arial" w:hAnsi="Arial"/>
                <w:b/>
                <w:bCs/>
                <w:color w:val="111827"/>
                <w:sz w:val="19"/>
                <w:szCs w:val="19"/>
              </w:rPr>
              <w:t xml:space="preserve">Context: </w:t>
            </w:r>
            <w:r>
              <w:rPr>
                <w:rFonts w:ascii="Arial" w:cs="Arial" w:eastAsia="Arial" w:hAnsi="Arial"/>
                <w:color w:val="374151"/>
                <w:sz w:val="19"/>
                <w:szCs w:val="19"/>
              </w:rPr>
              <w:t xml:space="preserve">Email integration is FinFlow's core differentiator but raises serious privacy concerns. Users and regulators are increasingly sensitive to email data access. Server-side scanning creates GDPR exposure.</w:t>
            </w:r>
          </w:p>
          <w:p>
            <w:pPr>
              <w:spacing w:after="80" w:before="0"/>
            </w:pPr>
            <w:r>
              <w:rPr>
                <w:rFonts w:ascii="Arial" w:cs="Arial" w:eastAsia="Arial" w:hAnsi="Arial"/>
                <w:b/>
                <w:bCs/>
                <w:color w:val="111827"/>
                <w:sz w:val="19"/>
                <w:szCs w:val="19"/>
              </w:rPr>
              <w:t xml:space="preserve">Decision: </w:t>
            </w:r>
            <w:r>
              <w:rPr>
                <w:rFonts w:ascii="Arial" w:cs="Arial" w:eastAsia="Arial" w:hAnsi="Arial"/>
                <w:color w:val="374151"/>
                <w:sz w:val="19"/>
                <w:szCs w:val="19"/>
              </w:rPr>
              <w:t xml:space="preserve">Implement a lightweight NLP classifier (Core ML / TensorFlow Lite) running entirely on-device. Only extracted metadata (merchant name, amount, due date, signal type) — never email body — is transmitted to servers.</w:t>
            </w:r>
          </w:p>
          <w:p>
            <w:pPr>
              <w:spacing w:after="80" w:before="0"/>
            </w:pPr>
            <w:r>
              <w:rPr>
                <w:rFonts w:ascii="Arial" w:cs="Arial" w:eastAsia="Arial" w:hAnsi="Arial"/>
                <w:b/>
                <w:bCs/>
                <w:color w:val="111827"/>
                <w:sz w:val="19"/>
                <w:szCs w:val="19"/>
              </w:rPr>
              <w:t xml:space="preserve">Consequences: </w:t>
            </w:r>
            <w:r>
              <w:rPr>
                <w:rFonts w:ascii="Arial" w:cs="Arial" w:eastAsia="Arial" w:hAnsi="Arial"/>
                <w:color w:val="374151"/>
                <w:sz w:val="19"/>
                <w:szCs w:val="19"/>
              </w:rPr>
              <w:t xml:space="preserve">Higher mobile app size (~8MB for on-device model). Significantly reduces server-side processing load. Privacy guarantee is architecturally enforced, not just policy.</w:t>
            </w:r>
          </w:p>
          <w:p>
            <w:pPr>
              <w:spacing w:after="0" w:before="0"/>
            </w:pPr>
            <w:r>
              <w:rPr>
                <w:rFonts w:ascii="Arial" w:cs="Arial" w:eastAsia="Arial" w:hAnsi="Arial"/>
                <w:b/>
                <w:bCs/>
                <w:color w:val="111827"/>
                <w:sz w:val="19"/>
                <w:szCs w:val="19"/>
              </w:rPr>
              <w:t xml:space="preserve">Alternatives Rejected: </w:t>
            </w:r>
            <w:r>
              <w:rPr>
                <w:rFonts w:ascii="Arial" w:cs="Arial" w:eastAsia="Arial" w:hAnsi="Arial"/>
                <w:color w:val="374151"/>
                <w:sz w:val="19"/>
                <w:szCs w:val="19"/>
              </w:rPr>
              <w:t xml:space="preserve">Server-side email scanning (simpler dev, higher privacy risk) — rejected on GDPR Art. 5 proportionality grounds.</w:t>
            </w:r>
          </w:p>
        </w:tc>
      </w:tr>
    </w:tbl>
    <w:p>
      <w:pPr>
        <w:spacing w:after="12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007A6E" w:sz="20"/>
              <w:bottom w:val="none"/>
              <w:right w:val="none"/>
            </w:tcBorders>
            <w:shd w:fill="E6F4F2" w:val="clear"/>
            <w:tcMar>
              <w:top w:type="dxa" w:w="120"/>
              <w:left w:type="dxa" w:w="200"/>
              <w:bottom w:type="dxa" w:w="120"/>
              <w:right w:type="dxa" w:w="160"/>
            </w:tcMar>
          </w:tcPr>
          <w:p>
            <w:pPr>
              <w:spacing w:after="100" w:before="0"/>
            </w:pPr>
            <w:r>
              <w:rPr>
                <w:rFonts w:ascii="Arial" w:cs="Arial" w:eastAsia="Arial" w:hAnsi="Arial"/>
                <w:b/>
                <w:bCs/>
                <w:color w:val="007A6E"/>
                <w:sz w:val="20"/>
                <w:szCs w:val="20"/>
              </w:rPr>
              <w:t xml:space="preserve">ADR-003</w:t>
            </w:r>
            <w:r>
              <w:rPr>
                <w:rFonts w:ascii="Arial" w:cs="Arial" w:eastAsia="Arial" w:hAnsi="Arial"/>
              </w:rPr>
              <w:t xml:space="preserve">   </w:t>
            </w:r>
            <w:r>
              <w:rPr>
                <w:rFonts w:ascii="Arial" w:cs="Arial" w:eastAsia="Arial" w:hAnsi="Arial"/>
                <w:b/>
                <w:bCs/>
                <w:color w:val="0D1B3E"/>
                <w:sz w:val="22"/>
                <w:szCs w:val="22"/>
              </w:rPr>
              <w:t xml:space="preserve">Shard PostgreSQL by user_id Rather Than Adopt NewSQL</w:t>
            </w:r>
            <w:r>
              <w:rPr>
                <w:rFonts w:ascii="Arial" w:cs="Arial" w:eastAsia="Arial" w:hAnsi="Arial"/>
              </w:rPr>
              <w:t xml:space="preserve">   </w:t>
            </w:r>
            <w:r>
              <w:rPr>
                <w:rFonts w:ascii="Arial" w:cs="Arial" w:eastAsia="Arial" w:hAnsi="Arial"/>
                <w:b/>
                <w:bCs/>
                <w:color w:val="007A6E"/>
                <w:sz w:val="17"/>
                <w:szCs w:val="17"/>
              </w:rPr>
              <w:t xml:space="preserve">ACCEPTED</w:t>
            </w:r>
            <w:r>
              <w:rPr>
                <w:rFonts w:ascii="Arial" w:cs="Arial" w:eastAsia="Arial" w:hAnsi="Arial"/>
                <w:color w:val="6B7280"/>
                <w:sz w:val="17"/>
                <w:szCs w:val="17"/>
              </w:rPr>
              <w:t xml:space="preserve">  ·  Feb 2026</w:t>
            </w:r>
          </w:p>
          <w:p>
            <w:pPr>
              <w:spacing w:after="80" w:before="0"/>
            </w:pPr>
            <w:r>
              <w:rPr>
                <w:rFonts w:ascii="Arial" w:cs="Arial" w:eastAsia="Arial" w:hAnsi="Arial"/>
                <w:b/>
                <w:bCs/>
                <w:color w:val="111827"/>
                <w:sz w:val="19"/>
                <w:szCs w:val="19"/>
              </w:rPr>
              <w:t xml:space="preserve">Context: </w:t>
            </w:r>
            <w:r>
              <w:rPr>
                <w:rFonts w:ascii="Arial" w:cs="Arial" w:eastAsia="Arial" w:hAnsi="Arial"/>
                <w:color w:val="374151"/>
                <w:sz w:val="19"/>
                <w:szCs w:val="19"/>
              </w:rPr>
              <w:t xml:space="preserve">Transactions table will reach 10B+ rows at 5M users. Options evaluated: shard Aurora PostgreSQL, migrate to CockroachDB, use DynamoDB for transactions.</w:t>
            </w:r>
          </w:p>
          <w:p>
            <w:pPr>
              <w:spacing w:after="80" w:before="0"/>
            </w:pPr>
            <w:r>
              <w:rPr>
                <w:rFonts w:ascii="Arial" w:cs="Arial" w:eastAsia="Arial" w:hAnsi="Arial"/>
                <w:b/>
                <w:bCs/>
                <w:color w:val="111827"/>
                <w:sz w:val="19"/>
                <w:szCs w:val="19"/>
              </w:rPr>
              <w:t xml:space="preserve">Decision: </w:t>
            </w:r>
            <w:r>
              <w:rPr>
                <w:rFonts w:ascii="Arial" w:cs="Arial" w:eastAsia="Arial" w:hAnsi="Arial"/>
                <w:color w:val="374151"/>
                <w:sz w:val="19"/>
                <w:szCs w:val="19"/>
              </w:rPr>
              <w:t xml:space="preserve">Shard Aurora PostgreSQL by user_id using logical sharding with PgBouncer connection pooling. All user-scoped queries remain single-shard. Analytics uses async Kinesis → Redshift pipeline.</w:t>
            </w:r>
          </w:p>
          <w:p>
            <w:pPr>
              <w:spacing w:after="80" w:before="0"/>
            </w:pPr>
            <w:r>
              <w:rPr>
                <w:rFonts w:ascii="Arial" w:cs="Arial" w:eastAsia="Arial" w:hAnsi="Arial"/>
                <w:b/>
                <w:bCs/>
                <w:color w:val="111827"/>
                <w:sz w:val="19"/>
                <w:szCs w:val="19"/>
              </w:rPr>
              <w:t xml:space="preserve">Consequences: </w:t>
            </w:r>
            <w:r>
              <w:rPr>
                <w:rFonts w:ascii="Arial" w:cs="Arial" w:eastAsia="Arial" w:hAnsi="Arial"/>
                <w:color w:val="374151"/>
                <w:sz w:val="19"/>
                <w:szCs w:val="19"/>
              </w:rPr>
              <w:t xml:space="preserve">Cross-user analytics require async pipeline (acceptable latency for reporting). Rebalancing requires background migration tooling. Team retains PostgreSQL expertise.</w:t>
            </w:r>
          </w:p>
          <w:p>
            <w:pPr>
              <w:spacing w:after="0" w:before="0"/>
            </w:pPr>
            <w:r>
              <w:rPr>
                <w:rFonts w:ascii="Arial" w:cs="Arial" w:eastAsia="Arial" w:hAnsi="Arial"/>
                <w:b/>
                <w:bCs/>
                <w:color w:val="111827"/>
                <w:sz w:val="19"/>
                <w:szCs w:val="19"/>
              </w:rPr>
              <w:t xml:space="preserve">Alternatives Rejected: </w:t>
            </w:r>
            <w:r>
              <w:rPr>
                <w:rFonts w:ascii="Arial" w:cs="Arial" w:eastAsia="Arial" w:hAnsi="Arial"/>
                <w:color w:val="374151"/>
                <w:sz w:val="19"/>
                <w:szCs w:val="19"/>
              </w:rPr>
              <w:t xml:space="preserve">CockroachDB (simpler sharding) — rejected due to team expertise gap and Aurora's superior managed service. DynamoDB for transactions — rejected; rich SQL queries are critical for categorization and cashflow modeling.</w:t>
            </w:r>
          </w:p>
        </w:tc>
      </w:tr>
    </w:tbl>
    <w:p>
      <w:pPr>
        <w:spacing w:after="12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007A6E" w:sz="20"/>
              <w:bottom w:val="none"/>
              <w:right w:val="none"/>
            </w:tcBorders>
            <w:shd w:fill="E6F4F2" w:val="clear"/>
            <w:tcMar>
              <w:top w:type="dxa" w:w="120"/>
              <w:left w:type="dxa" w:w="200"/>
              <w:bottom w:type="dxa" w:w="120"/>
              <w:right w:type="dxa" w:w="160"/>
            </w:tcMar>
          </w:tcPr>
          <w:p>
            <w:pPr>
              <w:spacing w:after="100" w:before="0"/>
            </w:pPr>
            <w:r>
              <w:rPr>
                <w:rFonts w:ascii="Arial" w:cs="Arial" w:eastAsia="Arial" w:hAnsi="Arial"/>
                <w:b/>
                <w:bCs/>
                <w:color w:val="007A6E"/>
                <w:sz w:val="20"/>
                <w:szCs w:val="20"/>
              </w:rPr>
              <w:t xml:space="preserve">ADR-004</w:t>
            </w:r>
            <w:r>
              <w:rPr>
                <w:rFonts w:ascii="Arial" w:cs="Arial" w:eastAsia="Arial" w:hAnsi="Arial"/>
              </w:rPr>
              <w:t xml:space="preserve">   </w:t>
            </w:r>
            <w:r>
              <w:rPr>
                <w:rFonts w:ascii="Arial" w:cs="Arial" w:eastAsia="Arial" w:hAnsi="Arial"/>
                <w:b/>
                <w:bCs/>
                <w:color w:val="0D1B3E"/>
                <w:sz w:val="22"/>
                <w:szCs w:val="22"/>
              </w:rPr>
              <w:t xml:space="preserve">GraphQL Federation as the API Layer</w:t>
            </w:r>
            <w:r>
              <w:rPr>
                <w:rFonts w:ascii="Arial" w:cs="Arial" w:eastAsia="Arial" w:hAnsi="Arial"/>
              </w:rPr>
              <w:t xml:space="preserve">   </w:t>
            </w:r>
            <w:r>
              <w:rPr>
                <w:rFonts w:ascii="Arial" w:cs="Arial" w:eastAsia="Arial" w:hAnsi="Arial"/>
                <w:b/>
                <w:bCs/>
                <w:color w:val="007A6E"/>
                <w:sz w:val="17"/>
                <w:szCs w:val="17"/>
              </w:rPr>
              <w:t xml:space="preserve">ACCEPTED</w:t>
            </w:r>
            <w:r>
              <w:rPr>
                <w:rFonts w:ascii="Arial" w:cs="Arial" w:eastAsia="Arial" w:hAnsi="Arial"/>
                <w:color w:val="6B7280"/>
                <w:sz w:val="17"/>
                <w:szCs w:val="17"/>
              </w:rPr>
              <w:t xml:space="preserve">  ·  Feb 2026</w:t>
            </w:r>
          </w:p>
          <w:p>
            <w:pPr>
              <w:spacing w:after="80" w:before="0"/>
            </w:pPr>
            <w:r>
              <w:rPr>
                <w:rFonts w:ascii="Arial" w:cs="Arial" w:eastAsia="Arial" w:hAnsi="Arial"/>
                <w:b/>
                <w:bCs/>
                <w:color w:val="111827"/>
                <w:sz w:val="19"/>
                <w:szCs w:val="19"/>
              </w:rPr>
              <w:t xml:space="preserve">Context: </w:t>
            </w:r>
            <w:r>
              <w:rPr>
                <w:rFonts w:ascii="Arial" w:cs="Arial" w:eastAsia="Arial" w:hAnsi="Arial"/>
                <w:color w:val="374151"/>
                <w:sz w:val="19"/>
                <w:szCs w:val="19"/>
              </w:rPr>
              <w:t xml:space="preserve">Nine microservices with independent schemas. REST would require multiple client round-trips. BFF pattern adds another service to maintain with overlapping domain knowledge.</w:t>
            </w:r>
          </w:p>
          <w:p>
            <w:pPr>
              <w:spacing w:after="80" w:before="0"/>
            </w:pPr>
            <w:r>
              <w:rPr>
                <w:rFonts w:ascii="Arial" w:cs="Arial" w:eastAsia="Arial" w:hAnsi="Arial"/>
                <w:b/>
                <w:bCs/>
                <w:color w:val="111827"/>
                <w:sz w:val="19"/>
                <w:szCs w:val="19"/>
              </w:rPr>
              <w:t xml:space="preserve">Decision: </w:t>
            </w:r>
            <w:r>
              <w:rPr>
                <w:rFonts w:ascii="Arial" w:cs="Arial" w:eastAsia="Arial" w:hAnsi="Arial"/>
                <w:color w:val="374151"/>
                <w:sz w:val="19"/>
                <w:szCs w:val="19"/>
              </w:rPr>
              <w:t xml:space="preserve">Apollo Federation with a single GraphQL Gateway. Each service owns a subgraph schema. Gateway composes the supergraph and enforces field-level authorization. REST maintained only for webhook ingest and Stripe.</w:t>
            </w:r>
          </w:p>
          <w:p>
            <w:pPr>
              <w:spacing w:after="80" w:before="0"/>
            </w:pPr>
            <w:r>
              <w:rPr>
                <w:rFonts w:ascii="Arial" w:cs="Arial" w:eastAsia="Arial" w:hAnsi="Arial"/>
                <w:b/>
                <w:bCs/>
                <w:color w:val="111827"/>
                <w:sz w:val="19"/>
                <w:szCs w:val="19"/>
              </w:rPr>
              <w:t xml:space="preserve">Consequences: </w:t>
            </w:r>
            <w:r>
              <w:rPr>
                <w:rFonts w:ascii="Arial" w:cs="Arial" w:eastAsia="Arial" w:hAnsi="Arial"/>
                <w:color w:val="374151"/>
                <w:sz w:val="19"/>
                <w:szCs w:val="19"/>
              </w:rPr>
              <w:t xml:space="preserve">Apollo Federation learning curve for engineers new to schema federation. Supergraph requires coordination on breaking schema changes. Single query can fetch user, accounts, transactions, and Safe to Spend in one round-trip.</w:t>
            </w:r>
          </w:p>
          <w:p>
            <w:pPr>
              <w:spacing w:after="0" w:before="0"/>
            </w:pPr>
            <w:r>
              <w:rPr>
                <w:rFonts w:ascii="Arial" w:cs="Arial" w:eastAsia="Arial" w:hAnsi="Arial"/>
                <w:b/>
                <w:bCs/>
                <w:color w:val="111827"/>
                <w:sz w:val="19"/>
                <w:szCs w:val="19"/>
              </w:rPr>
              <w:t xml:space="preserve">Alternatives Rejected: </w:t>
            </w:r>
            <w:r>
              <w:rPr>
                <w:rFonts w:ascii="Arial" w:cs="Arial" w:eastAsia="Arial" w:hAnsi="Arial"/>
                <w:color w:val="374151"/>
                <w:sz w:val="19"/>
                <w:szCs w:val="19"/>
              </w:rPr>
              <w:t xml:space="preserve">REST BFF (Backend for Frontend) — rejected; creates maintenance burden equivalent to another microservice. Pure REST — rejected due to multiple round-trips degrading mobile performance on cellular.</w:t>
            </w:r>
          </w:p>
        </w:tc>
      </w:tr>
    </w:tbl>
    <w:p>
      <w:pPr>
        <w:spacing w:after="12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C8860A" w:sz="20"/>
              <w:bottom w:val="none"/>
              <w:right w:val="none"/>
            </w:tcBorders>
            <w:shd w:fill="FEF6E4" w:val="clear"/>
            <w:tcMar>
              <w:top w:type="dxa" w:w="120"/>
              <w:left w:type="dxa" w:w="200"/>
              <w:bottom w:type="dxa" w:w="120"/>
              <w:right w:type="dxa" w:w="160"/>
            </w:tcMar>
          </w:tcPr>
          <w:p>
            <w:pPr>
              <w:spacing w:after="100" w:before="0"/>
            </w:pPr>
            <w:r>
              <w:rPr>
                <w:rFonts w:ascii="Arial" w:cs="Arial" w:eastAsia="Arial" w:hAnsi="Arial"/>
                <w:b/>
                <w:bCs/>
                <w:color w:val="C8860A"/>
                <w:sz w:val="20"/>
                <w:szCs w:val="20"/>
              </w:rPr>
              <w:t xml:space="preserve">ADR-005</w:t>
            </w:r>
            <w:r>
              <w:rPr>
                <w:rFonts w:ascii="Arial" w:cs="Arial" w:eastAsia="Arial" w:hAnsi="Arial"/>
              </w:rPr>
              <w:t xml:space="preserve">   </w:t>
            </w:r>
            <w:r>
              <w:rPr>
                <w:rFonts w:ascii="Arial" w:cs="Arial" w:eastAsia="Arial" w:hAnsi="Arial"/>
                <w:b/>
                <w:bCs/>
                <w:color w:val="0D1B3E"/>
                <w:sz w:val="22"/>
                <w:szCs w:val="22"/>
              </w:rPr>
              <w:t xml:space="preserve">React Native vs. Native iOS/Android — Revisit Trigger</w:t>
            </w:r>
            <w:r>
              <w:rPr>
                <w:rFonts w:ascii="Arial" w:cs="Arial" w:eastAsia="Arial" w:hAnsi="Arial"/>
              </w:rPr>
              <w:t xml:space="preserve">   </w:t>
            </w:r>
            <w:r>
              <w:rPr>
                <w:rFonts w:ascii="Arial" w:cs="Arial" w:eastAsia="Arial" w:hAnsi="Arial"/>
                <w:b/>
                <w:bCs/>
                <w:color w:val="C8860A"/>
                <w:sz w:val="17"/>
                <w:szCs w:val="17"/>
              </w:rPr>
              <w:t xml:space="preserve">PROPOSED</w:t>
            </w:r>
            <w:r>
              <w:rPr>
                <w:rFonts w:ascii="Arial" w:cs="Arial" w:eastAsia="Arial" w:hAnsi="Arial"/>
                <w:color w:val="6B7280"/>
                <w:sz w:val="17"/>
                <w:szCs w:val="17"/>
              </w:rPr>
              <w:t xml:space="preserve">  ·  Mar 2026</w:t>
            </w:r>
          </w:p>
          <w:p>
            <w:pPr>
              <w:spacing w:after="80" w:before="0"/>
            </w:pPr>
            <w:r>
              <w:rPr>
                <w:rFonts w:ascii="Arial" w:cs="Arial" w:eastAsia="Arial" w:hAnsi="Arial"/>
                <w:b/>
                <w:bCs/>
                <w:color w:val="111827"/>
                <w:sz w:val="19"/>
                <w:szCs w:val="19"/>
              </w:rPr>
              <w:t xml:space="preserve">Context: </w:t>
            </w:r>
            <w:r>
              <w:rPr>
                <w:rFonts w:ascii="Arial" w:cs="Arial" w:eastAsia="Arial" w:hAnsi="Arial"/>
                <w:color w:val="374151"/>
                <w:sz w:val="19"/>
                <w:szCs w:val="19"/>
              </w:rPr>
              <w:t xml:space="preserve">Speed of iteration during MVP phase favors cross-platform. Long-term performance and device capability access may favor native. Decision must be revisited as product matures.</w:t>
            </w:r>
          </w:p>
          <w:p>
            <w:pPr>
              <w:spacing w:after="80" w:before="0"/>
            </w:pPr>
            <w:r>
              <w:rPr>
                <w:rFonts w:ascii="Arial" w:cs="Arial" w:eastAsia="Arial" w:hAnsi="Arial"/>
                <w:b/>
                <w:bCs/>
                <w:color w:val="111827"/>
                <w:sz w:val="19"/>
                <w:szCs w:val="19"/>
              </w:rPr>
              <w:t xml:space="preserve">Decision: </w:t>
            </w:r>
            <w:r>
              <w:rPr>
                <w:rFonts w:ascii="Arial" w:cs="Arial" w:eastAsia="Arial" w:hAnsi="Arial"/>
                <w:color w:val="374151"/>
                <w:sz w:val="19"/>
                <w:szCs w:val="19"/>
              </w:rPr>
              <w:t xml:space="preserve">React Native (Expo) for MVP v1.0. Defined trigger for native migration review: 100K MAU sustained, OR biometric/widget features that require capabilities unavailable in Expo managed workflow.</w:t>
            </w:r>
          </w:p>
          <w:p>
            <w:pPr>
              <w:spacing w:after="80" w:before="0"/>
            </w:pPr>
            <w:r>
              <w:rPr>
                <w:rFonts w:ascii="Arial" w:cs="Arial" w:eastAsia="Arial" w:hAnsi="Arial"/>
                <w:b/>
                <w:bCs/>
                <w:color w:val="111827"/>
                <w:sz w:val="19"/>
                <w:szCs w:val="19"/>
              </w:rPr>
              <w:t xml:space="preserve">Consequences: </w:t>
            </w:r>
            <w:r>
              <w:rPr>
                <w:rFonts w:ascii="Arial" w:cs="Arial" w:eastAsia="Arial" w:hAnsi="Arial"/>
                <w:color w:val="374151"/>
                <w:sz w:val="19"/>
                <w:szCs w:val="19"/>
              </w:rPr>
              <w:t xml:space="preserve">Faster MVP delivery with shared codebase. Some React Native animation performance ceilings. Native module fallback available for biometrics (already implemented as bare workflow module).</w:t>
            </w:r>
          </w:p>
          <w:p>
            <w:pPr>
              <w:spacing w:after="0" w:before="0"/>
            </w:pPr>
            <w:r>
              <w:rPr>
                <w:rFonts w:ascii="Arial" w:cs="Arial" w:eastAsia="Arial" w:hAnsi="Arial"/>
                <w:b/>
                <w:bCs/>
                <w:color w:val="111827"/>
                <w:sz w:val="19"/>
                <w:szCs w:val="19"/>
              </w:rPr>
              <w:t xml:space="preserve">Alternatives Rejected: </w:t>
            </w:r>
            <w:r>
              <w:rPr>
                <w:rFonts w:ascii="Arial" w:cs="Arial" w:eastAsia="Arial" w:hAnsi="Arial"/>
                <w:color w:val="374151"/>
                <w:sz w:val="19"/>
                <w:szCs w:val="19"/>
              </w:rPr>
              <w:t xml:space="preserve">Full native Swift + Kotlin — rejected for MVP due to 2x engineering resource requirement. Flutter — rejected due to smaller fintech library ecosystem and unfamiliar Dart language for team.</w:t>
            </w:r>
          </w:p>
        </w:tc>
      </w:tr>
    </w:tbl>
    <w:p>
      <w:pPr>
        <w:spacing w:after="120" w:before="0"/>
      </w:pPr>
      <w:r>
        <w:rPr>
          <w:rFonts w:ascii="Arial" w:cs="Arial" w:eastAsia="Arial" w:hAnsi="Arial"/>
        </w:rPr>
        <w:t xml:space="preserve"/>
      </w:r>
    </w:p>
    <w:p>
      <w:pPr>
        <w:spacing w:after="200" w:before="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A6E" w:sz="1"/>
              <w:left w:val="single" w:color="007A6E" w:sz="1"/>
              <w:bottom w:val="single" w:color="007A6E" w:sz="1"/>
              <w:right w:val="single" w:color="007A6E" w:sz="1"/>
            </w:tcBorders>
            <w:shd w:fill="0D1B3E" w:val="clear"/>
            <w:tcMar>
              <w:top w:type="dxa" w:w="280"/>
              <w:left w:type="dxa" w:w="320"/>
              <w:bottom w:type="dxa" w:w="280"/>
              <w:right w:type="dxa" w:w="320"/>
            </w:tcMar>
          </w:tcPr>
          <w:p>
            <w:pPr>
              <w:jc w:val="center"/>
            </w:pPr>
            <w:r>
              <w:rPr>
                <w:rFonts w:ascii="Arial" w:cs="Arial" w:eastAsia="Arial" w:hAnsi="Arial"/>
                <w:b/>
                <w:bCs/>
                <w:color w:val="00A693"/>
                <w:sz w:val="26"/>
                <w:szCs w:val="26"/>
              </w:rPr>
              <w:t xml:space="preserve">FinFlow System Design Document — v1.0</w:t>
            </w:r>
          </w:p>
          <w:p>
            <w:pPr>
              <w:spacing w:after="40" w:before="80"/>
              <w:jc w:val="center"/>
            </w:pPr>
            <w:r>
              <w:rPr>
                <w:rFonts w:ascii="Arial" w:cs="Arial" w:eastAsia="Arial" w:hAnsi="Arial"/>
                <w:color w:val="99AABB"/>
                <w:sz w:val="18"/>
                <w:szCs w:val="18"/>
              </w:rPr>
              <w:t xml:space="preserve">This document is confidential and for internal engineering review only.</w:t>
            </w:r>
          </w:p>
          <w:p>
            <w:pPr>
              <w:jc w:val="center"/>
            </w:pPr>
            <w:r>
              <w:rPr>
                <w:rFonts w:ascii="Arial" w:cs="Arial" w:eastAsia="Arial" w:hAnsi="Arial"/>
                <w:color w:val="99AABB"/>
                <w:sz w:val="18"/>
                <w:szCs w:val="18"/>
              </w:rPr>
              <w:t xml:space="preserve">Questions? Contact the Platform Engineering team  ·  platform@finflow.internal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A6E" w:sz="4" w:space="1"/>
      </w:pBdr>
      <w:tabs>
        <w:tab w:val="right" w:pos="10080"/>
      </w:tabs>
      <w:spacing w:after="0" w:before="160"/>
    </w:pPr>
    <w:r>
      <w:rPr>
        <w:rFonts w:ascii="Arial" w:cs="Arial" w:eastAsia="Arial" w:hAnsi="Arial"/>
        <w:color w:val="6B7280"/>
        <w:sz w:val="16"/>
        <w:szCs w:val="16"/>
      </w:rPr>
      <w:t xml:space="preserve">Confidential — Internal Use Only</w:t>
    </w:r>
    <w:r>
      <w:rPr>
        <w:rFonts w:ascii="Arial" w:cs="Arial" w:eastAsia="Arial" w:hAnsi="Arial"/>
      </w:rPr>
      <w:t xml:space="preserve">	</w:t>
    </w:r>
    <w:r>
      <w:rPr>
        <w:rFonts w:ascii="Arial" w:cs="Arial" w:eastAsia="Arial" w:hAnsi="Arial"/>
        <w:color w:val="6B7280"/>
        <w:sz w:val="16"/>
        <w:szCs w:val="16"/>
      </w:rPr>
      <w:t xml:space="preserve">Page </w:t>
    </w:r>
    <w:r>
      <w:fldChar w:fldCharType="begin"/>
      <w:instrText xml:space="preserve">PAGE</w:instrText>
      <w:fldChar w:fldCharType="separate"/>
      <w:fldChar w:fldCharType="end"/>
    </w:r>
    <w:r>
      <w:rPr>
        <w:rFonts w:ascii="Arial" w:cs="Arial" w:eastAsia="Arial" w:hAnsi="Arial"/>
        <w:color w:val="6B7280"/>
        <w:sz w:val="16"/>
        <w:szCs w:val="16"/>
      </w:rP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6E" w:sz="4" w:space="1"/>
      </w:pBdr>
      <w:tabs>
        <w:tab w:val="right" w:pos="10080"/>
      </w:tabs>
      <w:spacing w:after="160" w:before="0"/>
    </w:pPr>
    <w:r>
      <w:rPr>
        <w:rFonts w:ascii="Arial" w:cs="Arial" w:eastAsia="Arial" w:hAnsi="Arial"/>
        <w:b/>
        <w:bCs/>
        <w:color w:val="007A6E"/>
        <w:sz w:val="20"/>
        <w:szCs w:val="20"/>
      </w:rPr>
      <w:t xml:space="preserve">FINFLOW</w:t>
    </w:r>
    <w:r>
      <w:rPr>
        <w:rFonts w:ascii="Arial" w:cs="Arial" w:eastAsia="Arial" w:hAnsi="Arial"/>
        <w:color w:val="6B7280"/>
        <w:sz w:val="18"/>
        <w:szCs w:val="18"/>
      </w:rPr>
      <w:t xml:space="preserve">  ·  System Design Document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1B3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3A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2026-04-17T19:50:30.977Z</dcterms:created>
  <dcterms:modified xsi:type="dcterms:W3CDTF">2026-04-17T19:50:30.980Z</dcterms:modified>
</cp:coreProperties>
</file>

<file path=docProps/custom.xml><?xml version="1.0" encoding="utf-8"?>
<Properties xmlns="http://schemas.openxmlformats.org/officeDocument/2006/custom-properties" xmlns:vt="http://schemas.openxmlformats.org/officeDocument/2006/docPropsVTypes"/>
</file>