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88874" w14:textId="14D299D6" w:rsidR="00FA3DB4" w:rsidRPr="00CD3652" w:rsidRDefault="00FA3DB4" w:rsidP="0087173D">
      <w:pPr>
        <w:jc w:val="center"/>
        <w:rPr>
          <w:rFonts w:asciiTheme="majorHAnsi" w:hAnsiTheme="majorHAnsi" w:cstheme="majorHAnsi"/>
          <w:b/>
          <w:bCs/>
          <w:color w:val="4472C4" w:themeColor="accent1"/>
          <w:sz w:val="30"/>
          <w:szCs w:val="30"/>
        </w:rPr>
      </w:pPr>
      <w:r w:rsidRPr="00CD3652">
        <w:rPr>
          <w:rFonts w:asciiTheme="majorHAnsi" w:hAnsiTheme="majorHAnsi" w:cstheme="majorHAnsi"/>
          <w:b/>
          <w:bCs/>
          <w:color w:val="4472C4" w:themeColor="accent1"/>
          <w:sz w:val="30"/>
          <w:szCs w:val="30"/>
        </w:rPr>
        <w:t>IBM HR Analytics Employee Attrition Report</w:t>
      </w:r>
    </w:p>
    <w:p w14:paraId="2D1FA154" w14:textId="77777777" w:rsidR="00B833CF" w:rsidRDefault="00B833CF" w:rsidP="0087173D">
      <w:pPr>
        <w:jc w:val="center"/>
        <w:rPr>
          <w:b/>
          <w:bCs/>
          <w:sz w:val="28"/>
          <w:szCs w:val="28"/>
        </w:rPr>
      </w:pPr>
    </w:p>
    <w:p w14:paraId="32055A8B" w14:textId="413C25C9" w:rsidR="00046A89" w:rsidRPr="00046A89" w:rsidRDefault="00046A89" w:rsidP="00046A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14:ligatures w14:val="none"/>
        </w:rPr>
      </w:pPr>
      <w:r w:rsidRPr="0062757E">
        <w:rPr>
          <w:rFonts w:asciiTheme="majorHAnsi" w:eastAsia="Times New Roman" w:hAnsiTheme="majorHAnsi" w:cstheme="majorHAnsi"/>
          <w:b/>
          <w:bCs/>
          <w:color w:val="4472C4" w:themeColor="accent1"/>
          <w:sz w:val="28"/>
          <w:szCs w:val="28"/>
          <w14:ligatures w14:val="none"/>
        </w:rPr>
        <w:t>Introduction</w:t>
      </w:r>
    </w:p>
    <w:p w14:paraId="514F71F8" w14:textId="6EB363D7" w:rsidR="00A20B1D" w:rsidRDefault="00B658A5" w:rsidP="00C14473">
      <w:pPr>
        <w:jc w:val="both"/>
      </w:pPr>
      <w:r w:rsidRPr="00B658A5">
        <w:t>This report presents an analysis of employee attrition using a fictitious dataset from International Business Machines Corp (IBM)</w:t>
      </w:r>
      <w:r>
        <w:t xml:space="preserve">, </w:t>
      </w:r>
      <w:r w:rsidR="00B9063B" w:rsidRPr="00B9063B">
        <w:t>demonstrat</w:t>
      </w:r>
      <w:r w:rsidR="00F700FD">
        <w:t>ing</w:t>
      </w:r>
      <w:r w:rsidR="00B9063B" w:rsidRPr="00B9063B">
        <w:t xml:space="preserve"> the work of a data analyst. It primarily focuses on the analytical process and decision-making strategies utilized throughout the analysis, providing insights valuable to my learning and career development.</w:t>
      </w:r>
      <w:r w:rsidR="009C5FCA">
        <w:t xml:space="preserve"> </w:t>
      </w:r>
    </w:p>
    <w:p w14:paraId="78CDEC83" w14:textId="1A7882B2" w:rsidR="00046A89" w:rsidRPr="00046A89" w:rsidRDefault="00046A89" w:rsidP="00046A89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4472C4" w:themeColor="accent1"/>
          <w:sz w:val="28"/>
          <w:szCs w:val="28"/>
          <w14:ligatures w14:val="none"/>
        </w:rPr>
      </w:pPr>
      <w:r w:rsidRPr="0062757E">
        <w:rPr>
          <w:rFonts w:asciiTheme="majorHAnsi" w:eastAsia="Times New Roman" w:hAnsiTheme="majorHAnsi" w:cstheme="majorHAnsi"/>
          <w:b/>
          <w:bCs/>
          <w:color w:val="4472C4" w:themeColor="accent1"/>
          <w:sz w:val="28"/>
          <w:szCs w:val="28"/>
          <w14:ligatures w14:val="none"/>
        </w:rPr>
        <w:t>Methodology</w:t>
      </w:r>
    </w:p>
    <w:p w14:paraId="21351947" w14:textId="4606A59B" w:rsidR="00C14473" w:rsidRDefault="00A20B1D" w:rsidP="00C14473">
      <w:pPr>
        <w:jc w:val="both"/>
      </w:pPr>
      <w:r>
        <w:t xml:space="preserve">The decision to analyze this data was made after seeing a YouTube video from Andre Yukio, </w:t>
      </w:r>
      <w:r w:rsidR="00046A89">
        <w:t xml:space="preserve">in which he </w:t>
      </w:r>
      <w:r>
        <w:t>talk</w:t>
      </w:r>
      <w:r w:rsidR="00046A89">
        <w:t>s</w:t>
      </w:r>
      <w:r>
        <w:t xml:space="preserve"> about the job of a data analyst. </w:t>
      </w:r>
      <w:r w:rsidR="00DF1070">
        <w:t xml:space="preserve">This </w:t>
      </w:r>
      <w:r>
        <w:t>analysis</w:t>
      </w:r>
      <w:r w:rsidR="009C5FCA">
        <w:t xml:space="preserve"> </w:t>
      </w:r>
      <w:r>
        <w:t>first started being done</w:t>
      </w:r>
      <w:r w:rsidR="00046A89">
        <w:t xml:space="preserve"> </w:t>
      </w:r>
      <w:r>
        <w:t>blindly</w:t>
      </w:r>
      <w:r w:rsidR="006B081D">
        <w:t xml:space="preserve"> (without actually watching the analysis process</w:t>
      </w:r>
      <w:r w:rsidR="0038047C">
        <w:t xml:space="preserve"> in the video</w:t>
      </w:r>
      <w:r w:rsidR="006B081D">
        <w:t>)</w:t>
      </w:r>
      <w:r>
        <w:t xml:space="preserve">, in order to see if my decision-making process </w:t>
      </w:r>
      <w:r w:rsidR="00046A89">
        <w:t>aligns</w:t>
      </w:r>
      <w:r>
        <w:t xml:space="preserve"> with Yukio’s who is a well-known data scientist in Brazil. </w:t>
      </w:r>
    </w:p>
    <w:p w14:paraId="12BF0B7E" w14:textId="5F52FA77" w:rsidR="00046A89" w:rsidRPr="00046A89" w:rsidRDefault="0062757E" w:rsidP="00046A89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4472C4" w:themeColor="accent1"/>
          <w:sz w:val="28"/>
          <w:szCs w:val="28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color w:val="4472C4" w:themeColor="accent1"/>
          <w:sz w:val="28"/>
          <w:szCs w:val="28"/>
          <w14:ligatures w14:val="none"/>
        </w:rPr>
        <w:t xml:space="preserve">Project </w:t>
      </w:r>
      <w:r w:rsidR="00046A89" w:rsidRPr="0062757E">
        <w:rPr>
          <w:rFonts w:asciiTheme="majorHAnsi" w:eastAsia="Times New Roman" w:hAnsiTheme="majorHAnsi" w:cstheme="majorHAnsi"/>
          <w:b/>
          <w:bCs/>
          <w:color w:val="4472C4" w:themeColor="accent1"/>
          <w:sz w:val="28"/>
          <w:szCs w:val="28"/>
          <w14:ligatures w14:val="none"/>
        </w:rPr>
        <w:t>Timeline</w:t>
      </w:r>
      <w:r>
        <w:rPr>
          <w:rFonts w:asciiTheme="majorHAnsi" w:eastAsia="Times New Roman" w:hAnsiTheme="majorHAnsi" w:cstheme="majorHAnsi"/>
          <w:b/>
          <w:bCs/>
          <w:color w:val="4472C4" w:themeColor="accent1"/>
          <w:sz w:val="28"/>
          <w:szCs w:val="28"/>
          <w14:ligatures w14:val="none"/>
        </w:rPr>
        <w:t>, Tools</w:t>
      </w:r>
      <w:r w:rsidR="00046A89" w:rsidRPr="0062757E">
        <w:rPr>
          <w:rFonts w:asciiTheme="majorHAnsi" w:eastAsia="Times New Roman" w:hAnsiTheme="majorHAnsi" w:cstheme="majorHAnsi"/>
          <w:b/>
          <w:bCs/>
          <w:color w:val="4472C4" w:themeColor="accent1"/>
          <w:sz w:val="28"/>
          <w:szCs w:val="28"/>
          <w14:ligatures w14:val="none"/>
        </w:rPr>
        <w:t xml:space="preserve"> and Goals</w:t>
      </w:r>
    </w:p>
    <w:p w14:paraId="1A2F9991" w14:textId="5DD2FB24" w:rsidR="00EB6738" w:rsidRDefault="0062757E" w:rsidP="00C14473">
      <w:pPr>
        <w:jc w:val="both"/>
      </w:pPr>
      <w:r>
        <w:rPr>
          <w:b/>
          <w:bCs/>
        </w:rPr>
        <w:t xml:space="preserve">May </w:t>
      </w:r>
      <w:r w:rsidR="00F72DC0">
        <w:rPr>
          <w:b/>
          <w:bCs/>
        </w:rPr>
        <w:t>27</w:t>
      </w:r>
      <w:r>
        <w:rPr>
          <w:b/>
          <w:bCs/>
        </w:rPr>
        <w:t xml:space="preserve">, 2024: </w:t>
      </w:r>
      <w:r>
        <w:t xml:space="preserve">Project initiation, data downloaded from Kaggle, tools </w:t>
      </w:r>
      <w:r w:rsidR="00EB6738">
        <w:t>used were</w:t>
      </w:r>
      <w:r>
        <w:t xml:space="preserve"> Excel and ChatGPT</w:t>
      </w:r>
      <w:r w:rsidR="00EB6738">
        <w:t>.</w:t>
      </w:r>
      <w:r>
        <w:br/>
      </w:r>
    </w:p>
    <w:p w14:paraId="1A80F91A" w14:textId="485EFE6A" w:rsidR="00FA3DB4" w:rsidRDefault="00046A89" w:rsidP="00C14473">
      <w:pPr>
        <w:jc w:val="both"/>
      </w:pPr>
      <w:r>
        <w:t>Began analyzing the data with the goal to:</w:t>
      </w:r>
    </w:p>
    <w:p w14:paraId="1340ED6F" w14:textId="1FB2482E" w:rsidR="00C14473" w:rsidRDefault="00C14473" w:rsidP="00C14473">
      <w:pPr>
        <w:pStyle w:val="ListParagraph"/>
        <w:numPr>
          <w:ilvl w:val="0"/>
          <w:numId w:val="1"/>
        </w:numPr>
        <w:jc w:val="both"/>
      </w:pPr>
      <w:r>
        <w:t>Learn the analysis process and put into perspective how it actually works.</w:t>
      </w:r>
    </w:p>
    <w:p w14:paraId="2D7B5CB2" w14:textId="238D38F9" w:rsidR="00C14473" w:rsidRDefault="00C14473" w:rsidP="00C14473">
      <w:pPr>
        <w:pStyle w:val="ListParagraph"/>
        <w:numPr>
          <w:ilvl w:val="0"/>
          <w:numId w:val="1"/>
        </w:numPr>
        <w:jc w:val="both"/>
      </w:pPr>
      <w:r>
        <w:t xml:space="preserve">Track progress throughout the project and see </w:t>
      </w:r>
      <w:r w:rsidR="009812D4">
        <w:t xml:space="preserve">how </w:t>
      </w:r>
      <w:r>
        <w:t xml:space="preserve">decision-making </w:t>
      </w:r>
      <w:r w:rsidR="00046A89">
        <w:t>evolves</w:t>
      </w:r>
      <w:r w:rsidR="009812D4">
        <w:t>.</w:t>
      </w:r>
    </w:p>
    <w:p w14:paraId="1E0CF08D" w14:textId="0BE714D7" w:rsidR="00B658A5" w:rsidRDefault="009812D4" w:rsidP="00B658A5">
      <w:pPr>
        <w:pStyle w:val="ListParagraph"/>
        <w:numPr>
          <w:ilvl w:val="0"/>
          <w:numId w:val="1"/>
        </w:numPr>
        <w:jc w:val="both"/>
      </w:pPr>
      <w:r>
        <w:t>Compare the process to</w:t>
      </w:r>
      <w:r w:rsidR="00EB6738">
        <w:t xml:space="preserve"> a</w:t>
      </w:r>
      <w:r>
        <w:t xml:space="preserve"> </w:t>
      </w:r>
      <w:r w:rsidR="00046A89">
        <w:t>professional</w:t>
      </w:r>
      <w:r w:rsidR="00EB6738">
        <w:t xml:space="preserve"> analysis</w:t>
      </w:r>
      <w:r>
        <w:t>.</w:t>
      </w:r>
    </w:p>
    <w:p w14:paraId="05D95E2A" w14:textId="57A53A6B" w:rsidR="00B658A5" w:rsidRDefault="00F700FD" w:rsidP="00B658A5">
      <w:pPr>
        <w:jc w:val="both"/>
      </w:pPr>
      <w:r w:rsidRPr="000349B6">
        <w:rPr>
          <w:b/>
          <w:bCs/>
        </w:rPr>
        <w:t>Note:</w:t>
      </w:r>
      <w:r w:rsidRPr="00F700FD">
        <w:t xml:space="preserve"> This dataset is entirely </w:t>
      </w:r>
      <w:r w:rsidRPr="00F700FD">
        <w:rPr>
          <w:b/>
          <w:bCs/>
        </w:rPr>
        <w:t>fictional</w:t>
      </w:r>
      <w:r w:rsidRPr="00F700FD">
        <w:t xml:space="preserve"> and </w:t>
      </w:r>
      <w:r w:rsidRPr="00F700FD">
        <w:rPr>
          <w:b/>
          <w:bCs/>
        </w:rPr>
        <w:t>publicly</w:t>
      </w:r>
      <w:r w:rsidRPr="00F700FD">
        <w:t xml:space="preserve"> accessible, facilitating its collaboration with ChatGPT. It's </w:t>
      </w:r>
      <w:r>
        <w:t>imperative to emphasize</w:t>
      </w:r>
      <w:r w:rsidRPr="00F700FD">
        <w:t xml:space="preserve"> that</w:t>
      </w:r>
      <w:r>
        <w:t xml:space="preserve"> if the dataset were not publicly available, its use would be ethically prohibited.</w:t>
      </w:r>
    </w:p>
    <w:p w14:paraId="378E04B9" w14:textId="67786EA4" w:rsidR="00404477" w:rsidRPr="00EB6738" w:rsidRDefault="00046A89" w:rsidP="0092167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4472C4" w:themeColor="accent1"/>
          <w:sz w:val="28"/>
          <w:szCs w:val="28"/>
          <w14:ligatures w14:val="none"/>
        </w:rPr>
      </w:pPr>
      <w:r w:rsidRPr="00046A89">
        <w:rPr>
          <w:rFonts w:asciiTheme="majorHAnsi" w:eastAsia="Times New Roman" w:hAnsiTheme="majorHAnsi" w:cstheme="majorHAnsi"/>
          <w:b/>
          <w:bCs/>
          <w:color w:val="4472C4" w:themeColor="accent1"/>
          <w:sz w:val="28"/>
          <w:szCs w:val="28"/>
          <w14:ligatures w14:val="none"/>
        </w:rPr>
        <w:t xml:space="preserve">Analysis </w:t>
      </w:r>
      <w:r w:rsidR="0062757E" w:rsidRPr="00EB6738">
        <w:rPr>
          <w:rFonts w:asciiTheme="majorHAnsi" w:eastAsia="Times New Roman" w:hAnsiTheme="majorHAnsi" w:cstheme="majorHAnsi"/>
          <w:b/>
          <w:bCs/>
          <w:color w:val="4472C4" w:themeColor="accent1"/>
          <w:sz w:val="28"/>
          <w:szCs w:val="28"/>
          <w14:ligatures w14:val="none"/>
        </w:rPr>
        <w:t>and Key Findings</w:t>
      </w:r>
    </w:p>
    <w:p w14:paraId="348B89FA" w14:textId="77777777" w:rsidR="0062757E" w:rsidRPr="00EB6738" w:rsidRDefault="0062757E" w:rsidP="0062757E">
      <w:pPr>
        <w:jc w:val="both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EB6738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1. Demographic and Job-Related Variables</w:t>
      </w:r>
    </w:p>
    <w:p w14:paraId="304CAE53" w14:textId="6D6AC81A" w:rsidR="00AD04A8" w:rsidRPr="00EB6738" w:rsidRDefault="0062757E" w:rsidP="0062757E">
      <w:pPr>
        <w:jc w:val="both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EB6738">
        <w:rPr>
          <w:b/>
          <w:bCs/>
          <w:color w:val="4472C4" w:themeColor="accent1"/>
        </w:rPr>
        <w:t>A</w:t>
      </w:r>
      <w:r w:rsidR="00AD04A8" w:rsidRPr="00EB6738">
        <w:rPr>
          <w:b/>
          <w:bCs/>
          <w:color w:val="4472C4" w:themeColor="accent1"/>
        </w:rPr>
        <w:t>ge, department and commute distance</w:t>
      </w:r>
    </w:p>
    <w:p w14:paraId="281481B5" w14:textId="59E6D5D3" w:rsidR="00EB6738" w:rsidRDefault="00EB6738" w:rsidP="00EB6738">
      <w:pPr>
        <w:jc w:val="both"/>
      </w:pPr>
      <w:r w:rsidRPr="00EB6738">
        <w:rPr>
          <w:b/>
          <w:bCs/>
        </w:rPr>
        <w:t>Finding:</w:t>
      </w:r>
      <w:r>
        <w:t xml:space="preserve"> Employees </w:t>
      </w:r>
      <w:r w:rsidR="006A34EE">
        <w:t>in their late 20s to mid-30s (45%)</w:t>
      </w:r>
      <w:r>
        <w:t xml:space="preserve"> from the Sales department</w:t>
      </w:r>
      <w:r w:rsidR="001B5A68">
        <w:t xml:space="preserve"> (20%)</w:t>
      </w:r>
      <w:r>
        <w:t xml:space="preserve"> are more likely to leave.</w:t>
      </w:r>
      <w:r w:rsidR="001B5A68">
        <w:t xml:space="preserve"> One interesting finding was that 45% of the employees actually lived on average closer than 4 miles to the job, which is unusual and would require further investigation.</w:t>
      </w:r>
    </w:p>
    <w:p w14:paraId="40B1D7C0" w14:textId="1F656D80" w:rsidR="0062757E" w:rsidRDefault="00EB6738" w:rsidP="00EB6738">
      <w:pPr>
        <w:jc w:val="both"/>
        <w:rPr>
          <w:color w:val="000000" w:themeColor="text1"/>
        </w:rPr>
      </w:pPr>
      <w:r w:rsidRPr="00EB6738">
        <w:rPr>
          <w:b/>
          <w:bCs/>
        </w:rPr>
        <w:t>Actionable Insight:</w:t>
      </w:r>
      <w:r>
        <w:t xml:space="preserve"> Consider targeting retention strategies for Sales employees in this age group and commuting distance.</w:t>
      </w:r>
    </w:p>
    <w:p w14:paraId="259B1727" w14:textId="77777777" w:rsidR="0062757E" w:rsidRDefault="0062757E" w:rsidP="00C14473">
      <w:pPr>
        <w:jc w:val="both"/>
      </w:pPr>
    </w:p>
    <w:p w14:paraId="52094CEA" w14:textId="77777777" w:rsidR="00F700FD" w:rsidRDefault="00F700FD" w:rsidP="00EB6738">
      <w:pPr>
        <w:jc w:val="both"/>
        <w:rPr>
          <w:b/>
          <w:bCs/>
          <w:color w:val="4472C4" w:themeColor="accent1"/>
        </w:rPr>
      </w:pPr>
    </w:p>
    <w:p w14:paraId="4851B00E" w14:textId="78BEFD53" w:rsidR="00EB6738" w:rsidRPr="00EB6738" w:rsidRDefault="00EB6738" w:rsidP="00EB6738">
      <w:pPr>
        <w:jc w:val="both"/>
        <w:rPr>
          <w:b/>
          <w:bCs/>
          <w:color w:val="4472C4" w:themeColor="accent1"/>
        </w:rPr>
      </w:pPr>
      <w:r w:rsidRPr="00EB6738">
        <w:rPr>
          <w:b/>
          <w:bCs/>
          <w:color w:val="4472C4" w:themeColor="accent1"/>
        </w:rPr>
        <w:lastRenderedPageBreak/>
        <w:t>Education Field</w:t>
      </w:r>
    </w:p>
    <w:p w14:paraId="00DBE613" w14:textId="3C08D338" w:rsidR="00EB6738" w:rsidRDefault="00EB6738" w:rsidP="00EB6738">
      <w:pPr>
        <w:jc w:val="both"/>
      </w:pPr>
      <w:r w:rsidRPr="00EB6738">
        <w:rPr>
          <w:b/>
          <w:bCs/>
        </w:rPr>
        <w:t>Finding:</w:t>
      </w:r>
      <w:r>
        <w:t xml:space="preserve"> Attrition rates </w:t>
      </w:r>
      <w:r w:rsidR="00B658A5">
        <w:t>are higher in employees with a bachelor’s degree</w:t>
      </w:r>
      <w:r w:rsidR="007570EB">
        <w:t xml:space="preserve"> (43%)</w:t>
      </w:r>
      <w:r w:rsidR="00B658A5">
        <w:t>.</w:t>
      </w:r>
    </w:p>
    <w:p w14:paraId="529A5862" w14:textId="77777777" w:rsidR="00B658A5" w:rsidRDefault="00EB6738" w:rsidP="00B658A5">
      <w:pPr>
        <w:jc w:val="both"/>
      </w:pPr>
      <w:r w:rsidRPr="00EB6738">
        <w:rPr>
          <w:b/>
          <w:bCs/>
        </w:rPr>
        <w:t>Actionable Insight:</w:t>
      </w:r>
      <w:r>
        <w:t xml:space="preserve"> Implement career development programs based on educational background to enhance retention.</w:t>
      </w:r>
    </w:p>
    <w:p w14:paraId="66CD7AFA" w14:textId="77777777" w:rsidR="00B658A5" w:rsidRDefault="00B658A5" w:rsidP="00B658A5">
      <w:pPr>
        <w:jc w:val="both"/>
        <w:rPr>
          <w:b/>
          <w:bCs/>
          <w:color w:val="4472C4" w:themeColor="accent1"/>
        </w:rPr>
      </w:pPr>
      <w:r w:rsidRPr="00B658A5">
        <w:rPr>
          <w:b/>
          <w:bCs/>
          <w:color w:val="4472C4" w:themeColor="accent1"/>
        </w:rPr>
        <w:t>Environment Satisfaction</w:t>
      </w:r>
    </w:p>
    <w:p w14:paraId="043E2D1C" w14:textId="2E407FAF" w:rsidR="00B658A5" w:rsidRDefault="00B658A5" w:rsidP="00B658A5">
      <w:pPr>
        <w:jc w:val="both"/>
      </w:pPr>
      <w:r>
        <w:rPr>
          <w:b/>
          <w:bCs/>
        </w:rPr>
        <w:t>Finding</w:t>
      </w:r>
      <w:r w:rsidRPr="00B658A5">
        <w:rPr>
          <w:b/>
          <w:bCs/>
        </w:rPr>
        <w:t xml:space="preserve">: </w:t>
      </w:r>
      <w:r w:rsidR="004117DF">
        <w:t>30%</w:t>
      </w:r>
      <w:r>
        <w:t xml:space="preserve"> of the employees who left the company</w:t>
      </w:r>
      <w:r w:rsidR="004117DF">
        <w:t xml:space="preserve"> </w:t>
      </w:r>
      <w:r>
        <w:t>were not satisfied with the environment</w:t>
      </w:r>
      <w:r w:rsidR="004117DF">
        <w:t>, but most of them (52%) were satisfied or very satisfied with the environment.</w:t>
      </w:r>
    </w:p>
    <w:p w14:paraId="558007BC" w14:textId="5B10B0F1" w:rsidR="00B658A5" w:rsidRDefault="00B658A5" w:rsidP="00B658A5">
      <w:r w:rsidRPr="00B658A5">
        <w:rPr>
          <w:b/>
          <w:bCs/>
        </w:rPr>
        <w:t>Actionable Insight:</w:t>
      </w:r>
      <w:r>
        <w:rPr>
          <w:b/>
          <w:bCs/>
        </w:rPr>
        <w:t xml:space="preserve"> </w:t>
      </w:r>
      <w:r>
        <w:t>Conduct surveys to better understand and improve workplace environment satisfaction.</w:t>
      </w:r>
    </w:p>
    <w:p w14:paraId="25DA38B4" w14:textId="77777777" w:rsidR="00EB6738" w:rsidRDefault="00EB6738" w:rsidP="00C14473">
      <w:pPr>
        <w:jc w:val="both"/>
      </w:pPr>
    </w:p>
    <w:p w14:paraId="3F176E07" w14:textId="77777777" w:rsidR="00B658A5" w:rsidRDefault="00B658A5" w:rsidP="00B658A5">
      <w:pPr>
        <w:jc w:val="both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2</w:t>
      </w:r>
      <w:r w:rsidRPr="00EB6738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. </w:t>
      </w:r>
      <w: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Gender and Compensation</w:t>
      </w:r>
    </w:p>
    <w:p w14:paraId="7507ACE5" w14:textId="77777777" w:rsidR="00B658A5" w:rsidRDefault="004A4428" w:rsidP="00B658A5">
      <w:pPr>
        <w:jc w:val="both"/>
        <w:rPr>
          <w:b/>
          <w:bCs/>
          <w:color w:val="4472C4" w:themeColor="accent1"/>
        </w:rPr>
      </w:pPr>
      <w:r w:rsidRPr="00B658A5">
        <w:rPr>
          <w:b/>
          <w:bCs/>
          <w:color w:val="4472C4" w:themeColor="accent1"/>
        </w:rPr>
        <w:t>Gender Attrition</w:t>
      </w:r>
    </w:p>
    <w:p w14:paraId="4B2BAC77" w14:textId="77777777" w:rsidR="00F700FD" w:rsidRDefault="00B658A5" w:rsidP="004A4428">
      <w:pPr>
        <w:jc w:val="both"/>
      </w:pPr>
      <w:r w:rsidRPr="00B658A5">
        <w:rPr>
          <w:b/>
          <w:bCs/>
        </w:rPr>
        <w:t>Finding:</w:t>
      </w:r>
      <w:r>
        <w:t xml:space="preserve"> 17% attrition rate among men, with men constituting 60% of the workforce.</w:t>
      </w:r>
    </w:p>
    <w:p w14:paraId="30951B37" w14:textId="4286DF27" w:rsidR="00F700FD" w:rsidRDefault="00B658A5" w:rsidP="004A4428">
      <w:pPr>
        <w:jc w:val="both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B658A5">
        <w:rPr>
          <w:b/>
          <w:bCs/>
        </w:rPr>
        <w:t>Actionable Insight:</w:t>
      </w:r>
      <w:r>
        <w:t xml:space="preserve"> Investigate specific factors affecting gender-based attrition and address any disparities.</w:t>
      </w:r>
    </w:p>
    <w:p w14:paraId="0932804B" w14:textId="77777777" w:rsidR="00F700FD" w:rsidRPr="00AE34D1" w:rsidRDefault="00F700FD" w:rsidP="00F700FD">
      <w:pPr>
        <w:jc w:val="both"/>
        <w:rPr>
          <w:rFonts w:asciiTheme="majorHAnsi" w:hAnsiTheme="majorHAnsi" w:cstheme="majorHAnsi"/>
          <w:b/>
          <w:bCs/>
          <w:color w:val="4472C4" w:themeColor="accent1"/>
        </w:rPr>
      </w:pPr>
      <w:r w:rsidRPr="00AE34D1">
        <w:rPr>
          <w:rFonts w:asciiTheme="majorHAnsi" w:hAnsiTheme="majorHAnsi" w:cstheme="majorHAnsi"/>
          <w:b/>
          <w:bCs/>
          <w:color w:val="4472C4" w:themeColor="accent1"/>
        </w:rPr>
        <w:t>Hourly Rates</w:t>
      </w:r>
    </w:p>
    <w:p w14:paraId="71707883" w14:textId="7F93531D" w:rsidR="00F700FD" w:rsidRPr="00F700FD" w:rsidRDefault="00F700FD" w:rsidP="00F700FD">
      <w:pPr>
        <w:jc w:val="both"/>
        <w:rPr>
          <w:rFonts w:asciiTheme="majorHAnsi" w:hAnsiTheme="majorHAnsi" w:cstheme="majorHAnsi"/>
          <w:b/>
          <w:bCs/>
        </w:rPr>
      </w:pPr>
      <w:r w:rsidRPr="00F700FD">
        <w:rPr>
          <w:rFonts w:cstheme="minorHAnsi"/>
          <w:b/>
          <w:bCs/>
        </w:rPr>
        <w:t>Finding:</w:t>
      </w:r>
      <w:r w:rsidRPr="00F700FD">
        <w:rPr>
          <w:rFonts w:asciiTheme="majorHAnsi" w:hAnsiTheme="majorHAnsi" w:cstheme="majorHAnsi"/>
          <w:b/>
          <w:bCs/>
        </w:rPr>
        <w:t xml:space="preserve"> </w:t>
      </w:r>
      <w:r w:rsidRPr="00F700FD">
        <w:rPr>
          <w:rFonts w:cstheme="minorHAnsi"/>
        </w:rPr>
        <w:t>Minimal difference in average hourly rates between genders.</w:t>
      </w:r>
    </w:p>
    <w:p w14:paraId="72A5736F" w14:textId="12EDEE60" w:rsidR="00F700FD" w:rsidRPr="00F700FD" w:rsidRDefault="00F700FD" w:rsidP="00F700FD">
      <w:pPr>
        <w:jc w:val="both"/>
        <w:rPr>
          <w:rFonts w:cstheme="minorHAnsi"/>
        </w:rPr>
      </w:pPr>
      <w:r w:rsidRPr="00F700FD">
        <w:rPr>
          <w:rFonts w:cstheme="minorHAnsi"/>
          <w:b/>
          <w:bCs/>
        </w:rPr>
        <w:t>Actionable Insight:</w:t>
      </w:r>
      <w:r w:rsidRPr="00F700FD">
        <w:rPr>
          <w:rFonts w:asciiTheme="majorHAnsi" w:hAnsiTheme="majorHAnsi" w:cstheme="majorHAnsi"/>
          <w:b/>
          <w:bCs/>
        </w:rPr>
        <w:t xml:space="preserve"> </w:t>
      </w:r>
      <w:r w:rsidRPr="00F700FD">
        <w:rPr>
          <w:rFonts w:cstheme="minorHAnsi"/>
        </w:rPr>
        <w:t>Ensure ongoing pay equity audits to maintain fairness.</w:t>
      </w:r>
    </w:p>
    <w:p w14:paraId="58EDD94F" w14:textId="64C8A0A3" w:rsidR="00404477" w:rsidRDefault="00AE34D1" w:rsidP="004A4428">
      <w:pPr>
        <w:jc w:val="both"/>
      </w:pPr>
      <w:r>
        <w:t>Despite a slight disparity in the proportion of male to female employees, hourly rates exhibit minimal gender-based variance, with women averaging US$65.9 and men US$65.8. Notably, both genders hold a comparable share of the highest-paying positions, with a near-even distribution of 46 women to 69 men.</w:t>
      </w:r>
      <w:r w:rsidR="00F77366">
        <w:t xml:space="preserve"> In this topic</w:t>
      </w:r>
      <w:r>
        <w:t xml:space="preserve"> </w:t>
      </w:r>
      <w:r w:rsidR="004117DF">
        <w:t xml:space="preserve">I made </w:t>
      </w:r>
      <w:r>
        <w:t>a calculation error</w:t>
      </w:r>
      <w:r w:rsidR="004117DF">
        <w:t xml:space="preserve"> that</w:t>
      </w:r>
      <w:r>
        <w:t xml:space="preserve"> initially skewed the gender ratio</w:t>
      </w:r>
      <w:r w:rsidR="00F77366">
        <w:t xml:space="preserve"> and took me a lot of time</w:t>
      </w:r>
      <w:r>
        <w:t>, highlighting the importance of diligent analysis</w:t>
      </w:r>
      <w:r w:rsidR="00FF3572">
        <w:t xml:space="preserve"> and the attention to human error</w:t>
      </w:r>
      <w:r>
        <w:t>.</w:t>
      </w:r>
    </w:p>
    <w:p w14:paraId="4F02A68B" w14:textId="77777777" w:rsidR="00EF652B" w:rsidRDefault="00EF652B" w:rsidP="004A4428">
      <w:pPr>
        <w:jc w:val="both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</w:p>
    <w:p w14:paraId="72C90009" w14:textId="1E44C33C" w:rsidR="00AE34D1" w:rsidRPr="00AE34D1" w:rsidRDefault="00AE34D1" w:rsidP="004A4428">
      <w:pPr>
        <w:jc w:val="both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AE34D1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3. Job Role and Satisfaction</w:t>
      </w:r>
    </w:p>
    <w:p w14:paraId="0EDB3A22" w14:textId="77777777" w:rsidR="00AE34D1" w:rsidRPr="0038047C" w:rsidRDefault="00AE34D1" w:rsidP="00AE34D1">
      <w:pPr>
        <w:jc w:val="both"/>
        <w:rPr>
          <w:rFonts w:cstheme="minorHAnsi"/>
          <w:b/>
          <w:bCs/>
          <w:color w:val="4472C4" w:themeColor="accent1"/>
        </w:rPr>
      </w:pPr>
      <w:r w:rsidRPr="0038047C">
        <w:rPr>
          <w:rFonts w:cstheme="minorHAnsi"/>
          <w:b/>
          <w:bCs/>
          <w:color w:val="4472C4" w:themeColor="accent1"/>
        </w:rPr>
        <w:t>Job Involvement and Level</w:t>
      </w:r>
    </w:p>
    <w:p w14:paraId="0B51F0F0" w14:textId="3AF9374A" w:rsidR="00AE34D1" w:rsidRPr="00AE34D1" w:rsidRDefault="00AE34D1" w:rsidP="00AE34D1">
      <w:pPr>
        <w:jc w:val="both"/>
      </w:pPr>
      <w:r w:rsidRPr="00EF652B">
        <w:rPr>
          <w:b/>
          <w:bCs/>
        </w:rPr>
        <w:t>Finding:</w:t>
      </w:r>
      <w:r>
        <w:t xml:space="preserve"> </w:t>
      </w:r>
      <w:r w:rsidRPr="00AE34D1">
        <w:t>Most employees have moderate job involvement and are at the lowest job levels.</w:t>
      </w:r>
    </w:p>
    <w:p w14:paraId="6194DEB5" w14:textId="091DFF74" w:rsidR="00AE34D1" w:rsidRPr="00AE34D1" w:rsidRDefault="00AE34D1" w:rsidP="00AE34D1">
      <w:pPr>
        <w:jc w:val="both"/>
      </w:pPr>
      <w:r w:rsidRPr="00EF652B">
        <w:rPr>
          <w:b/>
          <w:bCs/>
        </w:rPr>
        <w:t>Actionable Insight:</w:t>
      </w:r>
      <w:r w:rsidRPr="00AE34D1">
        <w:t xml:space="preserve"> Enhance engagement initiatives and provide clear career progression paths.</w:t>
      </w:r>
    </w:p>
    <w:p w14:paraId="2730B673" w14:textId="77777777" w:rsidR="00AE34D1" w:rsidRPr="0038047C" w:rsidRDefault="00AE34D1" w:rsidP="00AE34D1">
      <w:pPr>
        <w:jc w:val="both"/>
        <w:rPr>
          <w:rFonts w:cstheme="minorHAnsi"/>
          <w:b/>
          <w:bCs/>
          <w:color w:val="4472C4" w:themeColor="accent1"/>
        </w:rPr>
      </w:pPr>
      <w:r w:rsidRPr="0038047C">
        <w:rPr>
          <w:rFonts w:cstheme="minorHAnsi"/>
          <w:b/>
          <w:bCs/>
          <w:color w:val="4472C4" w:themeColor="accent1"/>
        </w:rPr>
        <w:t>Job Satisfaction</w:t>
      </w:r>
    </w:p>
    <w:p w14:paraId="12D41473" w14:textId="654FAD65" w:rsidR="00AE34D1" w:rsidRPr="00AE34D1" w:rsidRDefault="00AE34D1" w:rsidP="00AE34D1">
      <w:pPr>
        <w:jc w:val="both"/>
      </w:pPr>
      <w:r w:rsidRPr="00EF652B">
        <w:rPr>
          <w:b/>
          <w:bCs/>
        </w:rPr>
        <w:t>Finding:</w:t>
      </w:r>
      <w:r w:rsidRPr="00AE34D1">
        <w:t xml:space="preserve"> Significant proportion of employees </w:t>
      </w:r>
      <w:r w:rsidR="0038047C">
        <w:t>were</w:t>
      </w:r>
      <w:r w:rsidRPr="00AE34D1">
        <w:t xml:space="preserve"> unsatisfied.</w:t>
      </w:r>
    </w:p>
    <w:p w14:paraId="28155A1B" w14:textId="5C1ABCEE" w:rsidR="00404477" w:rsidRPr="00AE34D1" w:rsidRDefault="00AE34D1" w:rsidP="00AE34D1">
      <w:pPr>
        <w:jc w:val="both"/>
      </w:pPr>
      <w:r w:rsidRPr="00EF652B">
        <w:rPr>
          <w:b/>
          <w:bCs/>
        </w:rPr>
        <w:t>Actionable Insight:</w:t>
      </w:r>
      <w:r w:rsidRPr="00AE34D1">
        <w:t xml:space="preserve"> Implement regular feedback mechanisms and address key areas of dissatisfaction.</w:t>
      </w:r>
    </w:p>
    <w:p w14:paraId="15B87B32" w14:textId="77777777" w:rsidR="00587257" w:rsidRDefault="00587257" w:rsidP="004A4428">
      <w:pPr>
        <w:jc w:val="both"/>
        <w:rPr>
          <w:b/>
          <w:bCs/>
        </w:rPr>
      </w:pPr>
    </w:p>
    <w:p w14:paraId="2ADBEE7B" w14:textId="77777777" w:rsidR="006A34EE" w:rsidRDefault="006A34EE" w:rsidP="004A4428">
      <w:pPr>
        <w:jc w:val="both"/>
        <w:rPr>
          <w:b/>
          <w:bCs/>
        </w:rPr>
      </w:pPr>
    </w:p>
    <w:p w14:paraId="43C4F6F3" w14:textId="77777777" w:rsidR="00587257" w:rsidRPr="00EF652B" w:rsidRDefault="00587257" w:rsidP="00587257">
      <w:pPr>
        <w:jc w:val="both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EF652B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4. Additional Variables</w:t>
      </w:r>
    </w:p>
    <w:p w14:paraId="76429A8C" w14:textId="77777777" w:rsidR="00587257" w:rsidRPr="00EF652B" w:rsidRDefault="00587257" w:rsidP="00587257">
      <w:pPr>
        <w:jc w:val="both"/>
        <w:rPr>
          <w:b/>
          <w:bCs/>
          <w:color w:val="4472C4" w:themeColor="accent1"/>
        </w:rPr>
      </w:pPr>
      <w:r w:rsidRPr="00EF652B">
        <w:rPr>
          <w:b/>
          <w:bCs/>
          <w:color w:val="4472C4" w:themeColor="accent1"/>
        </w:rPr>
        <w:t>Marital Status</w:t>
      </w:r>
    </w:p>
    <w:p w14:paraId="742FD7A1" w14:textId="142D8090" w:rsidR="00587257" w:rsidRPr="00EF652B" w:rsidRDefault="00587257" w:rsidP="00587257">
      <w:pPr>
        <w:jc w:val="both"/>
      </w:pPr>
      <w:r w:rsidRPr="00EF652B">
        <w:rPr>
          <w:b/>
          <w:bCs/>
        </w:rPr>
        <w:t>Finding:</w:t>
      </w:r>
      <w:r w:rsidRPr="00EF652B">
        <w:t xml:space="preserve"> 50% are single, 34% married, 14% divorced.</w:t>
      </w:r>
    </w:p>
    <w:p w14:paraId="6A70358B" w14:textId="2C5AF915" w:rsidR="00587257" w:rsidRPr="00EF652B" w:rsidRDefault="00587257" w:rsidP="00587257">
      <w:pPr>
        <w:jc w:val="both"/>
      </w:pPr>
      <w:r w:rsidRPr="00EF652B">
        <w:rPr>
          <w:b/>
          <w:bCs/>
        </w:rPr>
        <w:t>Actionable Insight:</w:t>
      </w:r>
      <w:r w:rsidRPr="00EF652B">
        <w:t xml:space="preserve"> Consider family-friendly policies to support married and divorced employees.</w:t>
      </w:r>
    </w:p>
    <w:p w14:paraId="6DC311A6" w14:textId="77777777" w:rsidR="00587257" w:rsidRPr="0038047C" w:rsidRDefault="00587257" w:rsidP="00587257">
      <w:pPr>
        <w:jc w:val="both"/>
        <w:rPr>
          <w:b/>
          <w:bCs/>
          <w:color w:val="4472C4" w:themeColor="accent1"/>
        </w:rPr>
      </w:pPr>
      <w:r w:rsidRPr="0038047C">
        <w:rPr>
          <w:b/>
          <w:bCs/>
          <w:color w:val="4472C4" w:themeColor="accent1"/>
        </w:rPr>
        <w:t>Monthly Income and Rate</w:t>
      </w:r>
    </w:p>
    <w:p w14:paraId="6F890CAE" w14:textId="14418ED0" w:rsidR="00587257" w:rsidRPr="00EF652B" w:rsidRDefault="00587257" w:rsidP="00587257">
      <w:pPr>
        <w:jc w:val="both"/>
      </w:pPr>
      <w:r w:rsidRPr="00EF652B">
        <w:rPr>
          <w:b/>
          <w:bCs/>
        </w:rPr>
        <w:t>Finding:</w:t>
      </w:r>
      <w:r w:rsidRPr="00EF652B">
        <w:t xml:space="preserve"> Wide income range with a concentration in the $2000-$3000 range.</w:t>
      </w:r>
    </w:p>
    <w:p w14:paraId="77B86751" w14:textId="3C1935CC" w:rsidR="00587257" w:rsidRPr="00EF652B" w:rsidRDefault="00587257" w:rsidP="00587257">
      <w:pPr>
        <w:jc w:val="both"/>
      </w:pPr>
      <w:r w:rsidRPr="00EF652B">
        <w:rPr>
          <w:b/>
          <w:bCs/>
        </w:rPr>
        <w:t>Actionable Insight:</w:t>
      </w:r>
      <w:r w:rsidRPr="00EF652B">
        <w:t xml:space="preserve"> Review compensation packages to ensure competitive salaries.</w:t>
      </w:r>
    </w:p>
    <w:p w14:paraId="78609538" w14:textId="77777777" w:rsidR="00587257" w:rsidRPr="00EF652B" w:rsidRDefault="00587257" w:rsidP="00587257">
      <w:pPr>
        <w:jc w:val="both"/>
        <w:rPr>
          <w:b/>
          <w:bCs/>
          <w:color w:val="4472C4" w:themeColor="accent1"/>
        </w:rPr>
      </w:pPr>
      <w:r w:rsidRPr="00EF652B">
        <w:rPr>
          <w:b/>
          <w:bCs/>
          <w:color w:val="4472C4" w:themeColor="accent1"/>
        </w:rPr>
        <w:t>Overtime</w:t>
      </w:r>
    </w:p>
    <w:p w14:paraId="2C497CDB" w14:textId="5066B727" w:rsidR="00587257" w:rsidRPr="00EF652B" w:rsidRDefault="00587257" w:rsidP="00587257">
      <w:pPr>
        <w:jc w:val="both"/>
      </w:pPr>
      <w:r w:rsidRPr="00EF652B">
        <w:rPr>
          <w:b/>
          <w:bCs/>
        </w:rPr>
        <w:t>Finding:</w:t>
      </w:r>
      <w:r w:rsidR="00EF652B" w:rsidRPr="00EF652B">
        <w:t xml:space="preserve"> </w:t>
      </w:r>
      <w:r w:rsidRPr="00EF652B">
        <w:t>Nearly equal split</w:t>
      </w:r>
      <w:r w:rsidR="00F137DA">
        <w:t xml:space="preserve">, 52% did overtime 48% did not, </w:t>
      </w:r>
      <w:r w:rsidRPr="00EF652B">
        <w:t>between employees working overtime and those who do not.</w:t>
      </w:r>
    </w:p>
    <w:p w14:paraId="1A47AC9C" w14:textId="408E98CA" w:rsidR="00587257" w:rsidRPr="00EF652B" w:rsidRDefault="00587257" w:rsidP="00587257">
      <w:pPr>
        <w:jc w:val="both"/>
      </w:pPr>
      <w:r w:rsidRPr="00EF652B">
        <w:rPr>
          <w:b/>
          <w:bCs/>
        </w:rPr>
        <w:t>Actionable Insight:</w:t>
      </w:r>
      <w:r w:rsidRPr="00EF652B">
        <w:t xml:space="preserve"> Monitor overtime patterns to prevent burnout.</w:t>
      </w:r>
    </w:p>
    <w:p w14:paraId="4AB5A859" w14:textId="77777777" w:rsidR="00587257" w:rsidRPr="000349B6" w:rsidRDefault="00587257" w:rsidP="00587257">
      <w:pPr>
        <w:jc w:val="both"/>
        <w:rPr>
          <w:b/>
          <w:bCs/>
          <w:color w:val="4472C4" w:themeColor="accent1"/>
        </w:rPr>
      </w:pPr>
      <w:r w:rsidRPr="0038047C">
        <w:rPr>
          <w:b/>
          <w:bCs/>
          <w:color w:val="4472C4" w:themeColor="accent1"/>
        </w:rPr>
        <w:t>Performance Rating</w:t>
      </w:r>
    </w:p>
    <w:p w14:paraId="360849B5" w14:textId="28EB7EE7" w:rsidR="00587257" w:rsidRPr="00EF652B" w:rsidRDefault="00587257" w:rsidP="00587257">
      <w:pPr>
        <w:jc w:val="both"/>
      </w:pPr>
      <w:r w:rsidRPr="00EF652B">
        <w:rPr>
          <w:b/>
          <w:bCs/>
        </w:rPr>
        <w:t>Finding:</w:t>
      </w:r>
      <w:r w:rsidRPr="00EF652B">
        <w:t xml:space="preserve"> Majority </w:t>
      </w:r>
      <w:r w:rsidR="00F137DA">
        <w:t xml:space="preserve">(86%) </w:t>
      </w:r>
      <w:r w:rsidRPr="00EF652B">
        <w:t xml:space="preserve">received </w:t>
      </w:r>
      <w:r w:rsidR="00F137DA">
        <w:t>excellent</w:t>
      </w:r>
      <w:r w:rsidRPr="00EF652B">
        <w:t xml:space="preserve"> performance ratings.</w:t>
      </w:r>
    </w:p>
    <w:p w14:paraId="77006364" w14:textId="64D5D627" w:rsidR="00587257" w:rsidRPr="00EF652B" w:rsidRDefault="00587257" w:rsidP="00587257">
      <w:pPr>
        <w:jc w:val="both"/>
      </w:pPr>
      <w:r w:rsidRPr="006A34EE">
        <w:rPr>
          <w:b/>
          <w:bCs/>
        </w:rPr>
        <w:t>Actionable Insight:</w:t>
      </w:r>
      <w:r w:rsidRPr="00EF652B">
        <w:t xml:space="preserve"> Provide performance improvement plans and recognition programs.</w:t>
      </w:r>
    </w:p>
    <w:p w14:paraId="5CED7F98" w14:textId="77777777" w:rsidR="00EF652B" w:rsidRDefault="00EF652B" w:rsidP="00587257">
      <w:pPr>
        <w:jc w:val="both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</w:p>
    <w:p w14:paraId="64F1EDD5" w14:textId="32C57A31" w:rsidR="00587257" w:rsidRPr="00EF652B" w:rsidRDefault="00587257" w:rsidP="00587257">
      <w:pPr>
        <w:jc w:val="both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EF652B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5. Correlations and Insights</w:t>
      </w:r>
    </w:p>
    <w:p w14:paraId="303E03FC" w14:textId="77777777" w:rsidR="00587257" w:rsidRPr="00EF652B" w:rsidRDefault="00587257" w:rsidP="00587257">
      <w:pPr>
        <w:jc w:val="both"/>
        <w:rPr>
          <w:b/>
          <w:bCs/>
          <w:color w:val="4472C4" w:themeColor="accent1"/>
        </w:rPr>
      </w:pPr>
      <w:r w:rsidRPr="00EF652B">
        <w:rPr>
          <w:b/>
          <w:bCs/>
          <w:color w:val="4472C4" w:themeColor="accent1"/>
        </w:rPr>
        <w:t>Promotion and Tenure</w:t>
      </w:r>
    </w:p>
    <w:p w14:paraId="562B9AD6" w14:textId="65E88F37" w:rsidR="00587257" w:rsidRPr="00EF652B" w:rsidRDefault="00EF652B" w:rsidP="00587257">
      <w:pPr>
        <w:jc w:val="both"/>
      </w:pPr>
      <w:r w:rsidRPr="00EF652B">
        <w:rPr>
          <w:b/>
          <w:bCs/>
        </w:rPr>
        <w:t>F</w:t>
      </w:r>
      <w:r w:rsidR="00587257" w:rsidRPr="00EF652B">
        <w:rPr>
          <w:b/>
          <w:bCs/>
        </w:rPr>
        <w:t>inding:</w:t>
      </w:r>
      <w:r w:rsidR="00587257" w:rsidRPr="00EF652B">
        <w:t xml:space="preserve"> Moderate correlation 0.69 between lack of promotion and attrition.</w:t>
      </w:r>
      <w:r w:rsidR="00F137DA" w:rsidRPr="00F137DA">
        <w:t xml:space="preserve"> </w:t>
      </w:r>
      <w:r w:rsidR="00F137DA">
        <w:t>Th</w:t>
      </w:r>
      <w:r w:rsidR="00534226">
        <w:t>is</w:t>
      </w:r>
      <w:r w:rsidR="00F137DA">
        <w:t xml:space="preserve"> moderate to high correlation between years at the company and years without a promotion among departing employees, </w:t>
      </w:r>
      <w:r w:rsidR="00F137DA" w:rsidRPr="00F137DA">
        <w:rPr>
          <w:b/>
          <w:bCs/>
        </w:rPr>
        <w:t>potentially</w:t>
      </w:r>
      <w:r w:rsidR="00F137DA">
        <w:t xml:space="preserve"> contributed to employee attrition.</w:t>
      </w:r>
      <w:r w:rsidR="001613A1">
        <w:t xml:space="preserve"> Whereas the correlation level between years at the company and years without a promotion within employee’s that still work at the company is lower at </w:t>
      </w:r>
      <w:r w:rsidR="001613A1" w:rsidRPr="00392400">
        <w:t>0</w:t>
      </w:r>
      <w:r w:rsidR="001613A1">
        <w:t>.</w:t>
      </w:r>
      <w:r w:rsidR="001613A1" w:rsidRPr="00392400">
        <w:t>54</w:t>
      </w:r>
      <w:r w:rsidR="001613A1">
        <w:t>.</w:t>
      </w:r>
    </w:p>
    <w:p w14:paraId="7A653756" w14:textId="10208467" w:rsidR="00587257" w:rsidRPr="00EF652B" w:rsidRDefault="00587257" w:rsidP="00587257">
      <w:pPr>
        <w:jc w:val="both"/>
      </w:pPr>
      <w:r w:rsidRPr="00EF652B">
        <w:rPr>
          <w:b/>
          <w:bCs/>
        </w:rPr>
        <w:t>Actionable Insight:</w:t>
      </w:r>
      <w:r w:rsidRPr="00EF652B">
        <w:t xml:space="preserve"> Develop transparent promotion criteria and frequent opportunities for career advancement.</w:t>
      </w:r>
    </w:p>
    <w:p w14:paraId="0B02323C" w14:textId="77777777" w:rsidR="00C96408" w:rsidRDefault="00C96408" w:rsidP="004A4428">
      <w:pPr>
        <w:jc w:val="both"/>
        <w:rPr>
          <w:b/>
          <w:bCs/>
        </w:rPr>
      </w:pPr>
    </w:p>
    <w:p w14:paraId="413787B2" w14:textId="6EA35509" w:rsidR="00587257" w:rsidRPr="00C96408" w:rsidRDefault="00587257" w:rsidP="004A4428">
      <w:pPr>
        <w:jc w:val="both"/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</w:pPr>
      <w:r w:rsidRPr="00C96408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Recommendations for Future Analysis</w:t>
      </w:r>
    </w:p>
    <w:p w14:paraId="1AF17842" w14:textId="77777777" w:rsidR="003D6474" w:rsidRDefault="003D6474" w:rsidP="00AD04A8">
      <w:pPr>
        <w:jc w:val="both"/>
      </w:pPr>
    </w:p>
    <w:p w14:paraId="5C6D35A6" w14:textId="555AC9DC" w:rsidR="00C96408" w:rsidRDefault="004B2251" w:rsidP="00C96408">
      <w:pPr>
        <w:jc w:val="both"/>
      </w:pPr>
      <w:r>
        <w:t xml:space="preserve">After watching the video and taking a look at the project, a few </w:t>
      </w:r>
      <w:r w:rsidR="00B0235F">
        <w:t>realizations emerged</w:t>
      </w:r>
      <w:r>
        <w:t>:</w:t>
      </w:r>
      <w:r w:rsidR="003D6474">
        <w:t xml:space="preserve"> </w:t>
      </w:r>
    </w:p>
    <w:p w14:paraId="1DE3BD14" w14:textId="540A29C3" w:rsidR="004C6761" w:rsidRDefault="00B0235F" w:rsidP="00D75E85">
      <w:pPr>
        <w:pStyle w:val="ListParagraph"/>
        <w:numPr>
          <w:ilvl w:val="0"/>
          <w:numId w:val="9"/>
        </w:numPr>
        <w:jc w:val="both"/>
      </w:pPr>
      <w:r w:rsidRPr="004C6761">
        <w:rPr>
          <w:b/>
          <w:bCs/>
        </w:rPr>
        <w:t>Lack of Specific Variables:</w:t>
      </w:r>
      <w:r>
        <w:t xml:space="preserve"> lack of </w:t>
      </w:r>
      <w:r w:rsidR="003D6474">
        <w:t xml:space="preserve">variables or a </w:t>
      </w:r>
      <w:r w:rsidR="00C808BD">
        <w:t>specific criterion</w:t>
      </w:r>
      <w:r w:rsidR="003D6474">
        <w:t xml:space="preserve"> to analyze the data</w:t>
      </w:r>
      <w:r>
        <w:t xml:space="preserve"> lead to a </w:t>
      </w:r>
      <w:r w:rsidR="003D6474">
        <w:t>broad</w:t>
      </w:r>
      <w:r>
        <w:t xml:space="preserve"> and </w:t>
      </w:r>
      <w:r w:rsidR="006A34EE">
        <w:t>time-consuming</w:t>
      </w:r>
      <w:r>
        <w:t xml:space="preserve"> analysis</w:t>
      </w:r>
      <w:r w:rsidR="003D6474">
        <w:t>.</w:t>
      </w:r>
      <w:r w:rsidR="004576D9">
        <w:t xml:space="preserve"> </w:t>
      </w:r>
      <w:r w:rsidR="004C6761">
        <w:t xml:space="preserve">Establishing specific questions or business problems to solve before beginning the analysis is a good strategy. </w:t>
      </w:r>
    </w:p>
    <w:p w14:paraId="51E930F7" w14:textId="5726AE7B" w:rsidR="00C96408" w:rsidRDefault="00B0235F" w:rsidP="00D75E85">
      <w:pPr>
        <w:pStyle w:val="ListParagraph"/>
        <w:numPr>
          <w:ilvl w:val="0"/>
          <w:numId w:val="9"/>
        </w:numPr>
        <w:jc w:val="both"/>
      </w:pPr>
      <w:r w:rsidRPr="004C6761">
        <w:rPr>
          <w:b/>
          <w:bCs/>
        </w:rPr>
        <w:t xml:space="preserve">Utilizing Excel </w:t>
      </w:r>
      <w:r w:rsidR="004C6761">
        <w:rPr>
          <w:b/>
          <w:bCs/>
        </w:rPr>
        <w:t>Tools</w:t>
      </w:r>
      <w:r w:rsidRPr="004C6761">
        <w:rPr>
          <w:b/>
          <w:bCs/>
        </w:rPr>
        <w:t>:</w:t>
      </w:r>
      <w:r w:rsidR="004B2251">
        <w:t xml:space="preserve"> </w:t>
      </w:r>
      <w:r w:rsidR="004C6761" w:rsidRPr="004C6761">
        <w:t>Us</w:t>
      </w:r>
      <w:r w:rsidR="004C6761">
        <w:t>ing</w:t>
      </w:r>
      <w:r w:rsidR="004C6761" w:rsidRPr="004C6761">
        <w:t xml:space="preserve"> pivot tables</w:t>
      </w:r>
      <w:r w:rsidR="003B58B2">
        <w:t xml:space="preserve"> to relate variables</w:t>
      </w:r>
      <w:r w:rsidR="004C6761">
        <w:t>,</w:t>
      </w:r>
      <w:r w:rsidR="004C6761" w:rsidRPr="004C6761">
        <w:t xml:space="preserve"> automated calculations </w:t>
      </w:r>
      <w:r w:rsidR="003B58B2">
        <w:t xml:space="preserve">and data analysis tools </w:t>
      </w:r>
      <w:r w:rsidR="004C6761" w:rsidRPr="004C6761">
        <w:t>to streamline data processing.</w:t>
      </w:r>
    </w:p>
    <w:p w14:paraId="3A8AEA1F" w14:textId="5857464A" w:rsidR="004576D9" w:rsidRDefault="003B58B2" w:rsidP="00CC716D">
      <w:pPr>
        <w:pStyle w:val="ListParagraph"/>
        <w:numPr>
          <w:ilvl w:val="0"/>
          <w:numId w:val="9"/>
        </w:numPr>
        <w:jc w:val="both"/>
      </w:pPr>
      <w:r w:rsidRPr="003B58B2">
        <w:rPr>
          <w:b/>
          <w:bCs/>
        </w:rPr>
        <w:lastRenderedPageBreak/>
        <w:t>Accurate Visualizations:</w:t>
      </w:r>
      <w:r>
        <w:t xml:space="preserve"> </w:t>
      </w:r>
      <w:r w:rsidR="004576D9" w:rsidRPr="004576D9">
        <w:t xml:space="preserve">One thing to keep in mind </w:t>
      </w:r>
      <w:r w:rsidR="008A1D72">
        <w:t xml:space="preserve">seen in Yukio’s video </w:t>
      </w:r>
      <w:r w:rsidR="004576D9" w:rsidRPr="004576D9">
        <w:t>is</w:t>
      </w:r>
      <w:r w:rsidR="001613A1">
        <w:t xml:space="preserve"> remembering </w:t>
      </w:r>
      <w:r w:rsidR="008A1D72">
        <w:t>to be mindful when making</w:t>
      </w:r>
      <w:r w:rsidR="004576D9" w:rsidRPr="004576D9">
        <w:t xml:space="preserve"> graphics of pivot tables</w:t>
      </w:r>
      <w:r w:rsidR="008A1D72">
        <w:t xml:space="preserve"> and also when selecting values</w:t>
      </w:r>
      <w:r w:rsidR="009C25B7">
        <w:t xml:space="preserve"> for </w:t>
      </w:r>
      <w:r w:rsidR="00CC716D">
        <w:t xml:space="preserve">these </w:t>
      </w:r>
      <w:r w:rsidR="008A1D72">
        <w:t>graphics</w:t>
      </w:r>
      <w:r w:rsidR="00CC716D">
        <w:t>.</w:t>
      </w:r>
      <w:r w:rsidR="008A1D72">
        <w:t xml:space="preserve"> </w:t>
      </w:r>
      <w:r w:rsidR="00CC716D">
        <w:t>G</w:t>
      </w:r>
      <w:r w:rsidR="008A1D72">
        <w:t>raphics can be</w:t>
      </w:r>
      <w:r w:rsidR="009C25B7">
        <w:t xml:space="preserve"> misleading </w:t>
      </w:r>
      <w:r w:rsidR="00CC716D">
        <w:t xml:space="preserve">making </w:t>
      </w:r>
      <w:r w:rsidR="009C25B7">
        <w:t xml:space="preserve">smaller differences </w:t>
      </w:r>
      <w:r w:rsidR="00CC716D">
        <w:t>appear larger, l</w:t>
      </w:r>
      <w:r w:rsidR="009C25B7">
        <w:t>ike in this case:</w:t>
      </w:r>
    </w:p>
    <w:p w14:paraId="20B32D58" w14:textId="77777777" w:rsidR="00B833CF" w:rsidRDefault="00B833CF" w:rsidP="009C25B7">
      <w:pPr>
        <w:jc w:val="both"/>
      </w:pPr>
    </w:p>
    <w:p w14:paraId="4EBF14F2" w14:textId="77777777" w:rsidR="009C25B7" w:rsidRPr="009C25B7" w:rsidRDefault="009C25B7" w:rsidP="008A1D72">
      <w:pPr>
        <w:jc w:val="center"/>
        <w:rPr>
          <w:b/>
          <w:bCs/>
          <w:noProof/>
        </w:rPr>
      </w:pPr>
      <w:r w:rsidRPr="009C25B7">
        <w:rPr>
          <w:b/>
          <w:bCs/>
          <w:noProof/>
        </w:rPr>
        <w:drawing>
          <wp:inline distT="0" distB="0" distL="0" distR="0" wp14:anchorId="03B04F80" wp14:editId="1DE690A2">
            <wp:extent cx="4311818" cy="2971800"/>
            <wp:effectExtent l="0" t="0" r="0" b="0"/>
            <wp:docPr id="8420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392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380" cy="297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76D0" w14:textId="77777777" w:rsidR="009C25B7" w:rsidRDefault="009C25B7" w:rsidP="009C25B7">
      <w:pPr>
        <w:rPr>
          <w:noProof/>
        </w:rPr>
      </w:pPr>
    </w:p>
    <w:p w14:paraId="3F1BCF94" w14:textId="03F928EB" w:rsidR="00F860C0" w:rsidRPr="00F860C0" w:rsidRDefault="009C25B7" w:rsidP="00F860C0">
      <w:pPr>
        <w:jc w:val="both"/>
      </w:pPr>
      <w:r>
        <w:rPr>
          <w:noProof/>
        </w:rPr>
        <w:t>If you only look at the difference between the employees who left the company and the ones who didn’t</w:t>
      </w:r>
      <w:r w:rsidR="008A1D72">
        <w:rPr>
          <w:noProof/>
        </w:rPr>
        <w:t>,</w:t>
      </w:r>
      <w:r>
        <w:rPr>
          <w:noProof/>
        </w:rPr>
        <w:t xml:space="preserve"> </w:t>
      </w:r>
      <w:r w:rsidR="00F860C0">
        <w:rPr>
          <w:noProof/>
        </w:rPr>
        <w:t>o</w:t>
      </w:r>
      <w:r w:rsidR="00F860C0">
        <w:t xml:space="preserve">n the X-axis, it may seem that employees who left the company lived almost three times farther away than those who stayed. However, if you examine the Y-axis, you see the difference is only from 8 miles to 11 miles. Here’s the </w:t>
      </w:r>
      <w:r w:rsidR="00FF3572">
        <w:t>correct</w:t>
      </w:r>
      <w:r w:rsidR="00F860C0">
        <w:t xml:space="preserve"> graphic:</w:t>
      </w:r>
    </w:p>
    <w:p w14:paraId="430105AF" w14:textId="28F732F7" w:rsidR="009C25B7" w:rsidRDefault="009C25B7" w:rsidP="009C25B7">
      <w:pPr>
        <w:jc w:val="both"/>
        <w:rPr>
          <w:noProof/>
        </w:rPr>
      </w:pPr>
      <w:r w:rsidRPr="00F17D56">
        <w:rPr>
          <w:noProof/>
        </w:rPr>
        <w:t xml:space="preserve"> </w:t>
      </w:r>
    </w:p>
    <w:p w14:paraId="1943F55A" w14:textId="77777777" w:rsidR="009C25B7" w:rsidRDefault="009C25B7" w:rsidP="008A1D72">
      <w:pPr>
        <w:jc w:val="center"/>
      </w:pPr>
      <w:r w:rsidRPr="00F17D56">
        <w:rPr>
          <w:noProof/>
        </w:rPr>
        <w:drawing>
          <wp:inline distT="0" distB="0" distL="0" distR="0" wp14:anchorId="314753FF" wp14:editId="186E1982">
            <wp:extent cx="4318535" cy="2933700"/>
            <wp:effectExtent l="0" t="0" r="6350" b="0"/>
            <wp:docPr id="425862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624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912" cy="294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875C" w14:textId="6DA5B9B9" w:rsidR="004576D9" w:rsidRDefault="009F5BF6" w:rsidP="009C25B7">
      <w:pPr>
        <w:jc w:val="both"/>
      </w:pPr>
      <w:r>
        <w:lastRenderedPageBreak/>
        <w:t>Understanding these nuances is essential to provide accurate information to project stakeholders and avoid misconceptions.</w:t>
      </w:r>
    </w:p>
    <w:p w14:paraId="7E5D2660" w14:textId="77777777" w:rsidR="00FF3572" w:rsidRDefault="00FF3572" w:rsidP="009C25B7">
      <w:pPr>
        <w:jc w:val="both"/>
      </w:pPr>
    </w:p>
    <w:p w14:paraId="1AFE92FF" w14:textId="270B7431" w:rsidR="00FF3572" w:rsidRPr="001E3617" w:rsidRDefault="00FF3572" w:rsidP="00FF3572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color w:val="4472C4" w:themeColor="accent1"/>
          <w:sz w:val="28"/>
          <w:szCs w:val="28"/>
          <w14:ligatures w14:val="none"/>
        </w:rPr>
      </w:pPr>
      <w:r w:rsidRPr="001E3617">
        <w:rPr>
          <w:rFonts w:asciiTheme="majorHAnsi" w:eastAsia="Times New Roman" w:hAnsiTheme="majorHAnsi" w:cstheme="majorHAnsi"/>
          <w:b/>
          <w:bCs/>
          <w:color w:val="4472C4" w:themeColor="accent1"/>
          <w:sz w:val="28"/>
          <w:szCs w:val="28"/>
          <w14:ligatures w14:val="none"/>
        </w:rPr>
        <w:t>Conclus</w:t>
      </w:r>
      <w:r>
        <w:rPr>
          <w:rFonts w:asciiTheme="majorHAnsi" w:eastAsia="Times New Roman" w:hAnsiTheme="majorHAnsi" w:cstheme="majorHAnsi"/>
          <w:b/>
          <w:bCs/>
          <w:color w:val="4472C4" w:themeColor="accent1"/>
          <w:sz w:val="28"/>
          <w:szCs w:val="28"/>
          <w14:ligatures w14:val="none"/>
        </w:rPr>
        <w:t>ion</w:t>
      </w:r>
    </w:p>
    <w:p w14:paraId="3E80A541" w14:textId="590630C2" w:rsidR="00FF3572" w:rsidRDefault="009D10AD" w:rsidP="00FF3572">
      <w:pPr>
        <w:jc w:val="both"/>
      </w:pPr>
      <w:r>
        <w:t>This report provides a comprehensive overview of employee attrition analysis, highlighting the importance of a structured approach to data analysis. This experience has given me valuable insights into the analytical process and decision-making strategies necessary for effective data analysis</w:t>
      </w:r>
      <w:r w:rsidR="00CD3652" w:rsidRPr="00CD3652">
        <w:t xml:space="preserve"> It also emphasized the need to focus on clear objectives</w:t>
      </w:r>
      <w:r>
        <w:t>, accurate visualizations, and a thorough exploration of correlations to drive meaningful outcomes. Future projects should build on these practices to achieve even more precise and impactful results.</w:t>
      </w:r>
    </w:p>
    <w:p w14:paraId="7AE4634B" w14:textId="77777777" w:rsidR="00FF3572" w:rsidRDefault="00FF3572" w:rsidP="00FF3572">
      <w:pPr>
        <w:jc w:val="both"/>
      </w:pPr>
    </w:p>
    <w:p w14:paraId="26C22697" w14:textId="5DF11D4E" w:rsidR="00FF3572" w:rsidRPr="001E3617" w:rsidRDefault="00FF3572" w:rsidP="00FF3572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color w:val="4472C4" w:themeColor="accent1"/>
          <w:sz w:val="28"/>
          <w:szCs w:val="28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color w:val="4472C4" w:themeColor="accent1"/>
          <w:sz w:val="28"/>
          <w:szCs w:val="28"/>
          <w14:ligatures w14:val="none"/>
        </w:rPr>
        <w:t>References</w:t>
      </w:r>
    </w:p>
    <w:p w14:paraId="1880E7C6" w14:textId="77777777" w:rsidR="00FF3572" w:rsidRPr="00FF3572" w:rsidRDefault="00FF3572" w:rsidP="00FF3572">
      <w:pPr>
        <w:spacing w:before="100" w:beforeAutospacing="1" w:after="100" w:afterAutospacing="1" w:line="240" w:lineRule="auto"/>
        <w:rPr>
          <w:rFonts w:eastAsia="Times New Roman" w:cstheme="minorHAnsi"/>
          <w14:ligatures w14:val="none"/>
        </w:rPr>
      </w:pPr>
      <w:hyperlink r:id="rId9" w:history="1">
        <w:r w:rsidRPr="00FF3572">
          <w:rPr>
            <w:rStyle w:val="Hyperlink"/>
            <w:rFonts w:eastAsia="Times New Roman" w:cstheme="minorHAnsi"/>
            <w14:ligatures w14:val="none"/>
          </w:rPr>
          <w:t>https://www.kaggle.com/datasets/pavansubhasht/ibm-hr-analytics-attrition-dataset</w:t>
        </w:r>
      </w:hyperlink>
    </w:p>
    <w:p w14:paraId="2448532D" w14:textId="77777777" w:rsidR="00FF3572" w:rsidRPr="00FF3572" w:rsidRDefault="00FF3572" w:rsidP="00FF3572">
      <w:pPr>
        <w:spacing w:before="100" w:beforeAutospacing="1" w:after="100" w:afterAutospacing="1" w:line="240" w:lineRule="auto"/>
        <w:rPr>
          <w:rFonts w:eastAsia="Times New Roman" w:cstheme="minorHAnsi"/>
          <w14:ligatures w14:val="none"/>
        </w:rPr>
      </w:pPr>
      <w:hyperlink r:id="rId10" w:history="1">
        <w:r w:rsidRPr="00FF3572">
          <w:rPr>
            <w:rStyle w:val="Hyperlink"/>
            <w:rFonts w:eastAsia="Times New Roman" w:cstheme="minorHAnsi"/>
            <w14:ligatures w14:val="none"/>
          </w:rPr>
          <w:t>https://www.youtube.com/watch?v=i_evacoZcPY</w:t>
        </w:r>
      </w:hyperlink>
    </w:p>
    <w:p w14:paraId="4842BBBD" w14:textId="77777777" w:rsidR="00FF3572" w:rsidRPr="00FF3572" w:rsidRDefault="00FF3572" w:rsidP="009D10AD">
      <w:pPr>
        <w:jc w:val="both"/>
      </w:pPr>
    </w:p>
    <w:sectPr w:rsidR="00FF3572" w:rsidRPr="00FF3572" w:rsidSect="00877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57BF8" w14:textId="77777777" w:rsidR="00903A73" w:rsidRDefault="00903A73" w:rsidP="00F70ECC">
      <w:pPr>
        <w:spacing w:after="0" w:line="240" w:lineRule="auto"/>
      </w:pPr>
      <w:r>
        <w:separator/>
      </w:r>
    </w:p>
  </w:endnote>
  <w:endnote w:type="continuationSeparator" w:id="0">
    <w:p w14:paraId="65A4825A" w14:textId="77777777" w:rsidR="00903A73" w:rsidRDefault="00903A73" w:rsidP="00F70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9A8CE" w14:textId="77777777" w:rsidR="00903A73" w:rsidRDefault="00903A73" w:rsidP="00F70ECC">
      <w:pPr>
        <w:spacing w:after="0" w:line="240" w:lineRule="auto"/>
      </w:pPr>
      <w:r>
        <w:separator/>
      </w:r>
    </w:p>
  </w:footnote>
  <w:footnote w:type="continuationSeparator" w:id="0">
    <w:p w14:paraId="402965E1" w14:textId="77777777" w:rsidR="00903A73" w:rsidRDefault="00903A73" w:rsidP="00F70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D0620"/>
    <w:multiLevelType w:val="hybridMultilevel"/>
    <w:tmpl w:val="09148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64C1"/>
    <w:multiLevelType w:val="hybridMultilevel"/>
    <w:tmpl w:val="22685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90166"/>
    <w:multiLevelType w:val="hybridMultilevel"/>
    <w:tmpl w:val="C5FE14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FF6B6F"/>
    <w:multiLevelType w:val="hybridMultilevel"/>
    <w:tmpl w:val="5EFEAF94"/>
    <w:lvl w:ilvl="0" w:tplc="241CC69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50AC6"/>
    <w:multiLevelType w:val="hybridMultilevel"/>
    <w:tmpl w:val="19B2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50016"/>
    <w:multiLevelType w:val="hybridMultilevel"/>
    <w:tmpl w:val="8AF8BDD8"/>
    <w:lvl w:ilvl="0" w:tplc="0EA2CA0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A3AA6"/>
    <w:multiLevelType w:val="hybridMultilevel"/>
    <w:tmpl w:val="06C636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9B7FFA"/>
    <w:multiLevelType w:val="hybridMultilevel"/>
    <w:tmpl w:val="A58EC470"/>
    <w:lvl w:ilvl="0" w:tplc="9FA882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779B8"/>
    <w:multiLevelType w:val="hybridMultilevel"/>
    <w:tmpl w:val="25DA6BB2"/>
    <w:lvl w:ilvl="0" w:tplc="9D72A9B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D113D9"/>
    <w:multiLevelType w:val="hybridMultilevel"/>
    <w:tmpl w:val="1D0A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E2608"/>
    <w:multiLevelType w:val="hybridMultilevel"/>
    <w:tmpl w:val="8FFA1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915D7"/>
    <w:multiLevelType w:val="hybridMultilevel"/>
    <w:tmpl w:val="1E9EECDC"/>
    <w:lvl w:ilvl="0" w:tplc="9FA882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694766">
    <w:abstractNumId w:val="11"/>
  </w:num>
  <w:num w:numId="2" w16cid:durableId="1143542137">
    <w:abstractNumId w:val="0"/>
  </w:num>
  <w:num w:numId="3" w16cid:durableId="2138911743">
    <w:abstractNumId w:val="1"/>
  </w:num>
  <w:num w:numId="4" w16cid:durableId="1220898465">
    <w:abstractNumId w:val="7"/>
  </w:num>
  <w:num w:numId="5" w16cid:durableId="1277102959">
    <w:abstractNumId w:val="4"/>
  </w:num>
  <w:num w:numId="6" w16cid:durableId="316804523">
    <w:abstractNumId w:val="2"/>
  </w:num>
  <w:num w:numId="7" w16cid:durableId="1621911864">
    <w:abstractNumId w:val="9"/>
  </w:num>
  <w:num w:numId="8" w16cid:durableId="1706368320">
    <w:abstractNumId w:val="10"/>
  </w:num>
  <w:num w:numId="9" w16cid:durableId="203563071">
    <w:abstractNumId w:val="6"/>
  </w:num>
  <w:num w:numId="10" w16cid:durableId="429087543">
    <w:abstractNumId w:val="5"/>
  </w:num>
  <w:num w:numId="11" w16cid:durableId="316957305">
    <w:abstractNumId w:val="3"/>
  </w:num>
  <w:num w:numId="12" w16cid:durableId="7991055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B4"/>
    <w:rsid w:val="0001098A"/>
    <w:rsid w:val="000349B6"/>
    <w:rsid w:val="000364A7"/>
    <w:rsid w:val="00046A89"/>
    <w:rsid w:val="000503B5"/>
    <w:rsid w:val="000D2FB5"/>
    <w:rsid w:val="000E306E"/>
    <w:rsid w:val="000F63C7"/>
    <w:rsid w:val="001042A3"/>
    <w:rsid w:val="00106357"/>
    <w:rsid w:val="00114303"/>
    <w:rsid w:val="001226F3"/>
    <w:rsid w:val="001514C9"/>
    <w:rsid w:val="001613A1"/>
    <w:rsid w:val="00177413"/>
    <w:rsid w:val="00183527"/>
    <w:rsid w:val="00197F0C"/>
    <w:rsid w:val="001B5A68"/>
    <w:rsid w:val="001D658D"/>
    <w:rsid w:val="00244398"/>
    <w:rsid w:val="002708BA"/>
    <w:rsid w:val="002770ED"/>
    <w:rsid w:val="002B535D"/>
    <w:rsid w:val="00302A0D"/>
    <w:rsid w:val="00376490"/>
    <w:rsid w:val="0038047C"/>
    <w:rsid w:val="00392400"/>
    <w:rsid w:val="003B58B2"/>
    <w:rsid w:val="003B71DC"/>
    <w:rsid w:val="003D6474"/>
    <w:rsid w:val="00404477"/>
    <w:rsid w:val="004117DF"/>
    <w:rsid w:val="004119D5"/>
    <w:rsid w:val="00454B48"/>
    <w:rsid w:val="004576D9"/>
    <w:rsid w:val="00483773"/>
    <w:rsid w:val="004A4428"/>
    <w:rsid w:val="004B2251"/>
    <w:rsid w:val="004C6761"/>
    <w:rsid w:val="00534226"/>
    <w:rsid w:val="00534A86"/>
    <w:rsid w:val="00540580"/>
    <w:rsid w:val="00541E29"/>
    <w:rsid w:val="005458C7"/>
    <w:rsid w:val="00553FE5"/>
    <w:rsid w:val="00587257"/>
    <w:rsid w:val="005A0180"/>
    <w:rsid w:val="005B7266"/>
    <w:rsid w:val="0060363E"/>
    <w:rsid w:val="00617EB1"/>
    <w:rsid w:val="0062757E"/>
    <w:rsid w:val="00676F10"/>
    <w:rsid w:val="006814FD"/>
    <w:rsid w:val="00681E3D"/>
    <w:rsid w:val="006A27F4"/>
    <w:rsid w:val="006A34EE"/>
    <w:rsid w:val="006B081D"/>
    <w:rsid w:val="006B4B8F"/>
    <w:rsid w:val="006E6B36"/>
    <w:rsid w:val="00734767"/>
    <w:rsid w:val="00744C94"/>
    <w:rsid w:val="007570EB"/>
    <w:rsid w:val="007B5640"/>
    <w:rsid w:val="007F397C"/>
    <w:rsid w:val="00825790"/>
    <w:rsid w:val="008439C6"/>
    <w:rsid w:val="0087173D"/>
    <w:rsid w:val="0087793F"/>
    <w:rsid w:val="008A1D72"/>
    <w:rsid w:val="008F1170"/>
    <w:rsid w:val="00901C68"/>
    <w:rsid w:val="00903A73"/>
    <w:rsid w:val="00921677"/>
    <w:rsid w:val="00921C1E"/>
    <w:rsid w:val="00930AA8"/>
    <w:rsid w:val="00961F56"/>
    <w:rsid w:val="00963757"/>
    <w:rsid w:val="009812D4"/>
    <w:rsid w:val="009C25B7"/>
    <w:rsid w:val="009C5FCA"/>
    <w:rsid w:val="009D10AD"/>
    <w:rsid w:val="009D3802"/>
    <w:rsid w:val="009D3EEA"/>
    <w:rsid w:val="009F5BF6"/>
    <w:rsid w:val="00A12CDF"/>
    <w:rsid w:val="00A20B1D"/>
    <w:rsid w:val="00AA54BB"/>
    <w:rsid w:val="00AD04A8"/>
    <w:rsid w:val="00AD675C"/>
    <w:rsid w:val="00AD7DC4"/>
    <w:rsid w:val="00AE34D1"/>
    <w:rsid w:val="00AF2084"/>
    <w:rsid w:val="00B0235F"/>
    <w:rsid w:val="00B658A5"/>
    <w:rsid w:val="00B833CF"/>
    <w:rsid w:val="00B9063B"/>
    <w:rsid w:val="00BA0DAF"/>
    <w:rsid w:val="00BC2BAE"/>
    <w:rsid w:val="00BE7B52"/>
    <w:rsid w:val="00C14473"/>
    <w:rsid w:val="00C26A88"/>
    <w:rsid w:val="00C41452"/>
    <w:rsid w:val="00C808BD"/>
    <w:rsid w:val="00C96408"/>
    <w:rsid w:val="00CC716D"/>
    <w:rsid w:val="00CD313E"/>
    <w:rsid w:val="00CD3652"/>
    <w:rsid w:val="00D107A7"/>
    <w:rsid w:val="00D41D41"/>
    <w:rsid w:val="00D64311"/>
    <w:rsid w:val="00D93F8E"/>
    <w:rsid w:val="00DC3AEF"/>
    <w:rsid w:val="00DE511F"/>
    <w:rsid w:val="00DF1070"/>
    <w:rsid w:val="00DF1594"/>
    <w:rsid w:val="00E53BB0"/>
    <w:rsid w:val="00E67AC9"/>
    <w:rsid w:val="00E70AFD"/>
    <w:rsid w:val="00E97651"/>
    <w:rsid w:val="00EB6738"/>
    <w:rsid w:val="00EE293C"/>
    <w:rsid w:val="00EF652B"/>
    <w:rsid w:val="00F137DA"/>
    <w:rsid w:val="00F17D56"/>
    <w:rsid w:val="00F23730"/>
    <w:rsid w:val="00F3605A"/>
    <w:rsid w:val="00F40B86"/>
    <w:rsid w:val="00F666F6"/>
    <w:rsid w:val="00F700FD"/>
    <w:rsid w:val="00F70ECC"/>
    <w:rsid w:val="00F72DC0"/>
    <w:rsid w:val="00F77366"/>
    <w:rsid w:val="00F860C0"/>
    <w:rsid w:val="00F9161F"/>
    <w:rsid w:val="00FA3DB4"/>
    <w:rsid w:val="00FC19C8"/>
    <w:rsid w:val="00FF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D7EB3"/>
  <w15:chartTrackingRefBased/>
  <w15:docId w15:val="{4FBBC455-1F4F-488E-9852-9DF92E15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572"/>
  </w:style>
  <w:style w:type="paragraph" w:styleId="Heading2">
    <w:name w:val="heading 2"/>
    <w:basedOn w:val="Normal"/>
    <w:link w:val="Heading2Char"/>
    <w:uiPriority w:val="9"/>
    <w:qFormat/>
    <w:rsid w:val="00046A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5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7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4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0E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ECC"/>
  </w:style>
  <w:style w:type="paragraph" w:styleId="Footer">
    <w:name w:val="footer"/>
    <w:basedOn w:val="Normal"/>
    <w:link w:val="FooterChar"/>
    <w:uiPriority w:val="99"/>
    <w:unhideWhenUsed/>
    <w:rsid w:val="00F70E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ECC"/>
  </w:style>
  <w:style w:type="character" w:customStyle="1" w:styleId="selectable-text">
    <w:name w:val="selectable-text"/>
    <w:basedOn w:val="DefaultParagraphFont"/>
    <w:rsid w:val="00734767"/>
  </w:style>
  <w:style w:type="character" w:customStyle="1" w:styleId="Heading2Char">
    <w:name w:val="Heading 2 Char"/>
    <w:basedOn w:val="DefaultParagraphFont"/>
    <w:link w:val="Heading2"/>
    <w:uiPriority w:val="9"/>
    <w:rsid w:val="00046A89"/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5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7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FF35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6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i_evacoZc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pavansubhasht/ibm-hr-analytics-attrition-datase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5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Péricles Resende</dc:creator>
  <cp:keywords/>
  <dc:description/>
  <cp:lastModifiedBy>Péricles Resende</cp:lastModifiedBy>
  <cp:revision>11</cp:revision>
  <dcterms:created xsi:type="dcterms:W3CDTF">2024-06-09T18:10:00Z</dcterms:created>
  <dcterms:modified xsi:type="dcterms:W3CDTF">2024-06-10T14:02:00Z</dcterms:modified>
</cp:coreProperties>
</file>