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Calibri" w:hAnsi="Calibri"/>
          <w:b/>
          <w:color w:val="C2A96A"/>
          <w:sz w:val="18"/>
        </w:rPr>
        <w:t>AGREEMENT  ·  CORPORATE-TO-CORPORATE / INDEPENDENT CONTRACTOR</w:t>
      </w:r>
    </w:p>
    <w:p>
      <w:r>
        <w:rPr>
          <w:rFonts w:ascii="Cambria" w:hAnsi="Cambria"/>
          <w:color w:val="3E5C3C"/>
          <w:sz w:val="52"/>
        </w:rPr>
        <w:t>Master Independent Contractor (C2C) Agreement</w:t>
      </w:r>
    </w:p>
    <w:p>
      <w:r>
        <w:rPr>
          <w:rFonts w:ascii="Cambria" w:hAnsi="Cambria"/>
          <w:i/>
          <w:color w:val="3E5C3C"/>
          <w:sz w:val="24"/>
        </w:rPr>
        <w:t>For engagements where Periculum acts as an independent contractor providing advisory services through another firm (a "Prime") to an end client — or, with adapted language, where Periculum subcontracts to specialists. Governed by Texas law.</w:t>
      </w:r>
    </w:p>
    <w:p>
      <w:r>
        <w:rPr>
          <w:rFonts w:ascii="Calibri" w:hAnsi="Calibri"/>
          <w:b/>
          <w:color w:val="A03A2B"/>
          <w:sz w:val="18"/>
        </w:rPr>
        <w:t>⚠ TEMPLATE - NOT LEGAL ADVICE</w:t>
      </w:r>
    </w:p>
    <w:p>
      <w:r>
        <w:rPr>
          <w:rFonts w:ascii="Calibri" w:hAnsi="Calibri"/>
          <w:i/>
          <w:color w:val="4A4F56"/>
          <w:sz w:val="18"/>
        </w:rPr>
        <w:t>This document is a template provided for convenience. It is not legal advice. Before signing this agreement with any counterparty for the first time — and certainly before relying on it in a material engagement — have it reviewed by a Texas-licensed attorney. A one-time attorney review of all three Periculum contract templates typically costs USD $500–1,500 and produces a polished, business-fit set you can use repeatedly thereafter. Material edits, unusual terms, or counterparty redlines should also be reviewed by counsel.</w:t>
      </w:r>
    </w:p>
    <w:p>
      <w:r>
        <w:rPr>
          <w:rFonts w:ascii="Calibri" w:hAnsi="Calibri"/>
          <w:color w:val="2A332A"/>
          <w:sz w:val="20"/>
        </w:rPr>
        <w:t>This Master Independent Contractor Agreement (the "Agreement") is entered into as of [DATE] (the "Effective Date") between:</w:t>
      </w:r>
    </w:p>
    <w:p>
      <w:r>
        <w:rPr>
          <w:rFonts w:ascii="Calibri" w:hAnsi="Calibri"/>
          <w:color w:val="2A332A"/>
          <w:sz w:val="20"/>
        </w:rPr>
        <w:t>Periculum LLC, a Texas limited liability company with its principal place of business in Plano, Texas ("Periculum" or "Contractor"); and</w:t>
      </w:r>
    </w:p>
    <w:p>
      <w:r>
        <w:rPr>
          <w:rFonts w:ascii="Calibri" w:hAnsi="Calibri"/>
          <w:color w:val="2A332A"/>
          <w:sz w:val="20"/>
        </w:rPr>
        <w:t>[PRIME / CLIENT NAME], a [STATE] [ENTITY TYPE] with its principal place of business at [ADDRESS] (the "Prime").</w:t>
      </w:r>
    </w:p>
    <w:p>
      <w:r>
        <w:rPr>
          <w:rFonts w:ascii="Calibri" w:hAnsi="Calibri"/>
          <w:color w:val="2A332A"/>
          <w:sz w:val="20"/>
        </w:rPr>
        <w:t>The Prime wishes to engage Periculum from time to time to perform advisory services. The Parties wish to establish the general terms under which Periculum performs such services. Specific engagements are described in one or more Statements of Work (each, an "SOW") executed under this Agreement. The Parties agree as follows.</w:t>
      </w:r>
    </w:p>
    <w:p>
      <w:r>
        <w:rPr>
          <w:rFonts w:ascii="Cambria" w:hAnsi="Cambria"/>
          <w:b/>
          <w:color w:val="3E5C3C"/>
          <w:sz w:val="26"/>
        </w:rPr>
        <w:t>1.  Engagement of Services</w:t>
      </w:r>
    </w:p>
    <w:p>
      <w:r>
        <w:rPr>
          <w:rFonts w:ascii="Calibri" w:hAnsi="Calibri"/>
          <w:color w:val="2A332A"/>
          <w:sz w:val="20"/>
        </w:rPr>
        <w:t>From time to time, the Prime may request Periculum to provide services. Each engagement shall be described in a written SOW signed by both Parties that identifies, at minimum: (a) the scope of services; (b) the deliverables; (c) the schedule or duration; (d) the fees and any expense arrangements; and (e) any client-specific terms applicable to the engagement. In the event of any conflict between this Agreement and an SOW, this Agreement controls except where the SOW expressly states otherwise.</w:t>
      </w:r>
    </w:p>
    <w:p>
      <w:r>
        <w:rPr>
          <w:rFonts w:ascii="Cambria" w:hAnsi="Cambria"/>
          <w:b/>
          <w:color w:val="3E5C3C"/>
          <w:sz w:val="26"/>
        </w:rPr>
        <w:t>2.  Independent Contractor</w:t>
      </w:r>
    </w:p>
    <w:p>
      <w:r>
        <w:rPr>
          <w:rFonts w:ascii="Calibri" w:hAnsi="Calibri"/>
          <w:color w:val="2A332A"/>
          <w:sz w:val="20"/>
        </w:rPr>
        <w:t>Periculum is an independent contractor and not an employee, agent, partner, joint venturer, or representative of the Prime. Periculum controls the means and manner of performing the services and is responsible for its own taxes (federal, state, and self-employment), benefits, and insurance. Periculum may perform services for other clients and is under no obligation of exclusivity to the Prime except as may be set out in a specific SOW.</w:t>
      </w:r>
    </w:p>
    <w:p>
      <w:r>
        <w:rPr>
          <w:rFonts w:ascii="Cambria" w:hAnsi="Cambria"/>
          <w:b/>
          <w:color w:val="3E5C3C"/>
          <w:sz w:val="26"/>
        </w:rPr>
        <w:t>3.  Compensation; Expenses</w:t>
      </w:r>
    </w:p>
    <w:p>
      <w:r>
        <w:rPr>
          <w:rFonts w:ascii="Calibri" w:hAnsi="Calibri"/>
          <w:color w:val="2A332A"/>
          <w:sz w:val="20"/>
        </w:rPr>
        <w:t>The Prime shall pay Periculum the fees set forth in the applicable SOW. Unless an SOW states otherwise, invoices are due net thirty (30) days from the invoice date. Late payments accrue interest at one percent (1%) per month, or the maximum permitted by Texas law, whichever is less. Reasonable, pre-approved out-of-pocket expenses are reimbursable at cost without markup, provided Periculum supplies supporting documentation.</w:t>
      </w:r>
    </w:p>
    <w:p>
      <w:r>
        <w:rPr>
          <w:rFonts w:ascii="Cambria" w:hAnsi="Cambria"/>
          <w:b/>
          <w:color w:val="3E5C3C"/>
          <w:sz w:val="26"/>
        </w:rPr>
        <w:t>4.  Confidentiality</w:t>
      </w:r>
    </w:p>
    <w:p>
      <w:r>
        <w:rPr>
          <w:rFonts w:ascii="Calibri" w:hAnsi="Calibri"/>
          <w:color w:val="2A332A"/>
          <w:sz w:val="20"/>
        </w:rPr>
        <w:t>The Parties' confidentiality obligations regarding information exchanged under this Agreement are governed by the Mutual Non-Disclosure Agreement between the Parties dated [NDA DATE], which is incorporated herein by reference. In the absence of a separate NDA, the confidentiality provisions of Sections 1–7 of the form Periculum Mutual NDA (available on request) shall apply by reference for the duration of this Agreement plus three (3) years thereafter.</w:t>
      </w:r>
    </w:p>
    <w:p>
      <w:r>
        <w:rPr>
          <w:rFonts w:ascii="Cambria" w:hAnsi="Cambria"/>
          <w:b/>
          <w:color w:val="3E5C3C"/>
          <w:sz w:val="26"/>
        </w:rPr>
        <w:t>5.  Intellectual Property</w:t>
      </w:r>
    </w:p>
    <w:p>
      <w:r>
        <w:rPr>
          <w:rFonts w:ascii="Calibri" w:hAnsi="Calibri"/>
          <w:color w:val="2A332A"/>
          <w:sz w:val="20"/>
        </w:rPr>
        <w:t>Each Party retains all rights, title, and interest in and to its respective pre-existing intellectual property, including in Periculum's case the 6A Compass methodology, related frameworks, templates, and any other proprietary methods. To the extent Periculum incorporates any pre-existing intellectual property into a deliverable, Periculum grants the Prime a non-exclusive, royalty-free, perpetual license to use such pre-existing intellectual property solely in connection with that deliverable and the related engagement. Work product specifically created for the Prime under an SOW (excluding Periculum's pre-existing intellectual property) shall be owned by the Prime upon full payment of the fees for the applicable SOW.</w:t>
      </w:r>
    </w:p>
    <w:p>
      <w:r>
        <w:rPr>
          <w:rFonts w:ascii="Cambria" w:hAnsi="Cambria"/>
          <w:b/>
          <w:color w:val="3E5C3C"/>
          <w:sz w:val="26"/>
        </w:rPr>
        <w:t>6.  Representations and Warranties</w:t>
      </w:r>
    </w:p>
    <w:p>
      <w:r>
        <w:rPr>
          <w:rFonts w:ascii="Calibri" w:hAnsi="Calibri"/>
          <w:color w:val="2A332A"/>
          <w:sz w:val="20"/>
        </w:rPr>
        <w:t>Each Party represents and warrants that (a) it has the authority to enter into and perform this Agreement; (b) its execution and performance do not violate any agreement with a third party; and (c) it will comply with all applicable laws and regulations in performing its obligations. Periculum represents that the services will be performed in a professional and workmanlike manner consistent with applicable industry standards.</w:t>
      </w:r>
    </w:p>
    <w:p>
      <w:r>
        <w:rPr>
          <w:rFonts w:ascii="Cambria" w:hAnsi="Cambria"/>
          <w:b/>
          <w:color w:val="3E5C3C"/>
          <w:sz w:val="26"/>
        </w:rPr>
        <w:t>7.  Limitation of Liability</w:t>
      </w:r>
    </w:p>
    <w:p>
      <w:r>
        <w:rPr>
          <w:rFonts w:ascii="Calibri" w:hAnsi="Calibri"/>
          <w:color w:val="2A332A"/>
          <w:sz w:val="20"/>
        </w:rPr>
        <w:t>EXCEPT FOR (A) BREACHES OF CONFIDENTIALITY, (B) INDEMNIFICATION OBLIGATIONS, AND (C) FRAUD OR WILLFUL MISCONDUCT, NEITHER PARTY SHALL BE LIABLE FOR INDIRECT, INCIDENTAL, SPECIAL, CONSEQUENTIAL, EXEMPLARY, OR PUNITIVE DAMAGES. EACH PARTY'S AGGREGATE LIABILITY UNDER OR IN CONNECTION WITH ANY SOW SHALL NOT EXCEED THE FEES ACTUALLY PAID OR PAYABLE BY THE PRIME TO PERICULUM UNDER THAT SOW IN THE TWELVE (12) MONTHS PRECEDING THE EVENT GIVING RISE TO THE CLAIM.</w:t>
      </w:r>
    </w:p>
    <w:p>
      <w:r>
        <w:rPr>
          <w:rFonts w:ascii="Cambria" w:hAnsi="Cambria"/>
          <w:b/>
          <w:color w:val="3E5C3C"/>
          <w:sz w:val="26"/>
        </w:rPr>
        <w:t>8.  Indemnification</w:t>
      </w:r>
    </w:p>
    <w:p>
      <w:r>
        <w:rPr>
          <w:rFonts w:ascii="Calibri" w:hAnsi="Calibri"/>
          <w:color w:val="2A332A"/>
          <w:sz w:val="20"/>
        </w:rPr>
        <w:t>Each Party shall defend, indemnify, and hold the other harmless from and against any third-party claim arising out of the indemnifying Party's (a) breach of its representations or warranties under this Agreement; (b) violation of applicable law; or (c) gross negligence or willful misconduct, in each case in connection with the services or any SOW. The indemnified Party shall promptly notify the indemnifying Party in writing of any such claim and shall reasonably cooperate in the defense.</w:t>
      </w:r>
    </w:p>
    <w:p>
      <w:r>
        <w:rPr>
          <w:rFonts w:ascii="Cambria" w:hAnsi="Cambria"/>
          <w:b/>
          <w:color w:val="3E5C3C"/>
          <w:sz w:val="26"/>
        </w:rPr>
        <w:t>9.  Insurance</w:t>
      </w:r>
    </w:p>
    <w:p>
      <w:r>
        <w:rPr>
          <w:rFonts w:ascii="Calibri" w:hAnsi="Calibri"/>
          <w:color w:val="2A332A"/>
          <w:sz w:val="20"/>
        </w:rPr>
        <w:t>Periculum may not currently carry professional or general liability insurance. Where a specific SOW requires Periculum to maintain insurance during an engagement, Periculum shall obtain such coverage in the amounts specified in that SOW prior to commencing the engagement and shall provide a certificate of insurance upon request. The Parties acknowledge that the Prime may bear primary responsibility for end-client insurance requirements where the engagement is routed through the Prime to a third party.</w:t>
      </w:r>
    </w:p>
    <w:p>
      <w:r>
        <w:rPr>
          <w:rFonts w:ascii="Cambria" w:hAnsi="Cambria"/>
          <w:b/>
          <w:color w:val="3E5C3C"/>
          <w:sz w:val="26"/>
        </w:rPr>
        <w:t>10.  Non-Solicitation</w:t>
      </w:r>
    </w:p>
    <w:p>
      <w:r>
        <w:rPr>
          <w:rFonts w:ascii="Calibri" w:hAnsi="Calibri"/>
          <w:color w:val="2A332A"/>
          <w:sz w:val="20"/>
        </w:rPr>
        <w:t>During the term of this Agreement and for one (1) year following its termination, neither Party shall, without the prior written consent of the other, knowingly solicit for employment any then-current employee or independent contractor of the other Party with whom such Party had material contact in connection with this Agreement. General advertisements and recruiter searches not directed specifically at such individuals do not violate this Section.</w:t>
      </w:r>
    </w:p>
    <w:p>
      <w:r>
        <w:rPr>
          <w:rFonts w:ascii="Cambria" w:hAnsi="Cambria"/>
          <w:b/>
          <w:color w:val="3E5C3C"/>
          <w:sz w:val="26"/>
        </w:rPr>
        <w:t>11.  Term and Termination</w:t>
      </w:r>
    </w:p>
    <w:p>
      <w:r>
        <w:rPr>
          <w:rFonts w:ascii="Calibri" w:hAnsi="Calibri"/>
          <w:color w:val="2A332A"/>
          <w:sz w:val="20"/>
        </w:rPr>
        <w:t>This Agreement begins on the Effective Date and continues until terminated. Either Party may terminate this Agreement for convenience by providing thirty (30) days' written notice. Either Party may terminate this Agreement or any SOW immediately upon written notice if the other Party (a) materially breaches this Agreement and fails to cure the breach within fifteen (15) days after receiving written notice, or (b) becomes insolvent, files for bankruptcy, or makes an assignment for the benefit of creditors. Termination does not relieve either Party of obligations accrued prior to the date of termination. Sections 4, 5, 7, 8, and 10–14 survive termination.</w:t>
      </w:r>
    </w:p>
    <w:p>
      <w:r>
        <w:rPr>
          <w:rFonts w:ascii="Cambria" w:hAnsi="Cambria"/>
          <w:b/>
          <w:color w:val="3E5C3C"/>
          <w:sz w:val="26"/>
        </w:rPr>
        <w:t>12.  Governing Law; Forum</w:t>
      </w:r>
    </w:p>
    <w:p>
      <w:r>
        <w:rPr>
          <w:rFonts w:ascii="Calibri" w:hAnsi="Calibri"/>
          <w:color w:val="2A332A"/>
          <w:sz w:val="20"/>
        </w:rPr>
        <w:t>This Agreement is governed by the laws of the State of Texas, without regard to its conflict-of-laws principles. Any dispute arising under or in connection with this Agreement shall be brought exclusively in the state or federal courts located in Collin County, Texas.</w:t>
      </w:r>
    </w:p>
    <w:p>
      <w:r>
        <w:rPr>
          <w:rFonts w:ascii="Cambria" w:hAnsi="Cambria"/>
          <w:b/>
          <w:color w:val="3E5C3C"/>
          <w:sz w:val="26"/>
        </w:rPr>
        <w:t>13.  Notices</w:t>
      </w:r>
    </w:p>
    <w:p>
      <w:r>
        <w:rPr>
          <w:rFonts w:ascii="Calibri" w:hAnsi="Calibri"/>
          <w:color w:val="2A332A"/>
          <w:sz w:val="20"/>
        </w:rPr>
        <w:t>Notices under this Agreement shall be in writing and delivered to the addresses set forth above (or such other address as a Party may designate in writing) by email with confirmation of delivery, by overnight courier, or by U.S. certified mail, return receipt requested.</w:t>
      </w:r>
    </w:p>
    <w:p>
      <w:r>
        <w:rPr>
          <w:rFonts w:ascii="Cambria" w:hAnsi="Cambria"/>
          <w:b/>
          <w:color w:val="3E5C3C"/>
          <w:sz w:val="26"/>
        </w:rPr>
        <w:t>14.  Entire Agreement; Amendments</w:t>
      </w:r>
    </w:p>
    <w:p>
      <w:r>
        <w:rPr>
          <w:rFonts w:ascii="Calibri" w:hAnsi="Calibri"/>
          <w:color w:val="2A332A"/>
          <w:sz w:val="20"/>
        </w:rPr>
        <w:t>This Agreement, together with any executed SOWs and the Mutual NDA referenced in Section 4, constitutes the entire agreement between the Parties on its subject matter. No amendment is effective unless in writing and signed by both Parties. Headings are for convenience only and do not affect interpretation.</w:t>
      </w:r>
    </w:p>
    <w:p/>
    <w:p>
      <w:r>
        <w:rPr>
          <w:rFonts w:ascii="Calibri" w:hAnsi="Calibri"/>
          <w:b/>
          <w:color w:val="C2A96A"/>
          <w:sz w:val="20"/>
        </w:rPr>
        <w:t>SIGNATURES</w:t>
      </w:r>
    </w:p>
    <w:tbl>
      <w:tblPr>
        <w:tblW w:type="auto" w:w="0"/>
        <w:tblLayout w:type="fixed"/>
        <w:tblLook w:firstColumn="1" w:firstRow="1" w:lastColumn="0" w:lastRow="0" w:noHBand="0" w:noVBand="1" w:val="04A0"/>
      </w:tblPr>
      <w:tblGrid>
        <w:gridCol w:w="4320"/>
        <w:gridCol w:w="4320"/>
      </w:tblGrid>
      <w:tr>
        <w:tc>
          <w:tcPr>
            <w:tcW w:type="dxa" w:w="4680"/>
          </w:tcPr>
          <w:p>
            <w:r>
              <w:rPr>
                <w:rFonts w:ascii="Calibri" w:hAnsi="Calibri"/>
                <w:b/>
                <w:color w:val="C2A96A"/>
                <w:sz w:val="18"/>
              </w:rPr>
              <w:t>PERICULUM LLC</w:t>
            </w:r>
          </w:p>
        </w:tc>
        <w:tc>
          <w:tcPr>
            <w:tcW w:type="dxa" w:w="4680"/>
          </w:tcPr>
          <w:p>
            <w:r>
              <w:rPr>
                <w:rFonts w:ascii="Calibri" w:hAnsi="Calibri"/>
                <w:b/>
                <w:color w:val="C2A96A"/>
                <w:sz w:val="18"/>
              </w:rPr>
              <w:t>COUNTERPARTY</w:t>
            </w:r>
          </w:p>
        </w:tc>
      </w:tr>
      <w:tr>
        <w:tc>
          <w:tcPr>
            <w:tcW w:type="dxa" w:w="4680"/>
          </w:tcPr>
          <w:p>
            <w:r>
              <w:rPr>
                <w:rFonts w:ascii="Calibri" w:hAnsi="Calibri"/>
                <w:color w:val="2A332A"/>
                <w:sz w:val="20"/>
              </w:rPr>
              <w:t>Signature:</w:t>
            </w:r>
          </w:p>
        </w:tc>
        <w:tc>
          <w:tcPr>
            <w:tcW w:type="dxa" w:w="4680"/>
          </w:tcPr>
          <w:p>
            <w:r>
              <w:rPr>
                <w:rFonts w:ascii="Calibri" w:hAnsi="Calibri"/>
                <w:color w:val="2A332A"/>
                <w:sz w:val="20"/>
              </w:rPr>
              <w:t>Signature:</w:t>
            </w:r>
          </w:p>
        </w:tc>
      </w:tr>
      <w:tr>
        <w:tc>
          <w:tcPr>
            <w:tcW w:type="dxa" w:w="4680"/>
          </w:tcPr>
          <w:p>
            <w:r>
              <w:rPr>
                <w:rFonts w:ascii="Calibri" w:hAnsi="Calibri"/>
                <w:color w:val="2A332A"/>
                <w:sz w:val="20"/>
              </w:rPr>
              <w:t>Name: Sailakshmi (Sai) Santhanakrishnan</w:t>
            </w:r>
          </w:p>
        </w:tc>
        <w:tc>
          <w:tcPr>
            <w:tcW w:type="dxa" w:w="4680"/>
          </w:tcPr>
          <w:p>
            <w:r>
              <w:rPr>
                <w:rFonts w:ascii="Calibri" w:hAnsi="Calibri"/>
                <w:color w:val="2A332A"/>
                <w:sz w:val="20"/>
              </w:rPr>
              <w:t>Name: [Counterparty signatory]</w:t>
            </w:r>
          </w:p>
        </w:tc>
      </w:tr>
      <w:tr>
        <w:tc>
          <w:tcPr>
            <w:tcW w:type="dxa" w:w="4680"/>
          </w:tcPr>
          <w:p>
            <w:r>
              <w:rPr>
                <w:rFonts w:ascii="Calibri" w:hAnsi="Calibri"/>
                <w:color w:val="2A332A"/>
                <w:sz w:val="20"/>
              </w:rPr>
              <w:t>Title: Founder &amp; Principal Advisor</w:t>
            </w:r>
          </w:p>
        </w:tc>
        <w:tc>
          <w:tcPr>
            <w:tcW w:type="dxa" w:w="4680"/>
          </w:tcPr>
          <w:p>
            <w:r>
              <w:rPr>
                <w:rFonts w:ascii="Calibri" w:hAnsi="Calibri"/>
                <w:color w:val="2A332A"/>
                <w:sz w:val="20"/>
              </w:rPr>
              <w:t>Title: [Title]</w:t>
            </w:r>
          </w:p>
        </w:tc>
      </w:tr>
      <w:tr>
        <w:tc>
          <w:tcPr>
            <w:tcW w:type="dxa" w:w="4680"/>
          </w:tcPr>
          <w:p>
            <w:r>
              <w:rPr>
                <w:rFonts w:ascii="Calibri" w:hAnsi="Calibri"/>
                <w:color w:val="2A332A"/>
                <w:sz w:val="20"/>
              </w:rPr>
              <w:t>Date:</w:t>
            </w:r>
          </w:p>
        </w:tc>
        <w:tc>
          <w:tcPr>
            <w:tcW w:type="dxa" w:w="4680"/>
          </w:tcPr>
          <w:p>
            <w:r>
              <w:rPr>
                <w:rFonts w:ascii="Calibri" w:hAnsi="Calibri"/>
                <w:color w:val="2A332A"/>
                <w:sz w:val="20"/>
              </w:rPr>
              <w:t>Date:</w:t>
            </w:r>
          </w:p>
        </w:tc>
      </w:tr>
    </w:tbl>
    <w:sectPr w:rsidR="00FC693F" w:rsidRPr="0006063C" w:rsidSect="00034616">
      <w:headerReference w:type="default" r:id="rId9"/>
      <w:footerReference w:type="default" r:id="rId10"/>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tblLayout w:type="fixed"/>
      <w:tblLook w:firstColumn="1" w:firstRow="1" w:lastColumn="0" w:lastRow="0" w:noHBand="0" w:noVBand="1" w:val="04A0"/>
    </w:tblPr>
    <w:tblGrid>
      <w:gridCol w:w="3600"/>
      <w:gridCol w:w="2160"/>
      <w:gridCol w:w="3600"/>
    </w:tblGrid>
    <w:tr>
      <w:tc>
        <w:tcPr>
          <w:tcW w:type="dxa" w:w="3120"/>
        </w:tcPr>
        <w:p>
          <w:r>
            <w:rPr>
              <w:rFonts w:ascii="Calibri" w:hAnsi="Calibri"/>
              <w:b/>
              <w:color w:val="4A4F56"/>
              <w:sz w:val="14"/>
            </w:rPr>
            <w:t>Periculum LLC  ·  Founded 2016  ·  Plano, Texas</w:t>
          </w:r>
        </w:p>
      </w:tc>
      <w:tc>
        <w:tcPr>
          <w:tcW w:type="dxa" w:w="3120"/>
        </w:tcPr>
        <w:p>
          <w:pPr>
            <w:jc w:val="center"/>
          </w:pPr>
          <w:r>
            <w:rPr>
              <w:rFonts w:ascii="Calibri" w:hAnsi="Calibri"/>
              <w:b/>
              <w:color w:val="C2A96A"/>
              <w:sz w:val="16"/>
            </w:rPr>
            <w:t>CONFIDENTIAL</w:t>
          </w:r>
        </w:p>
      </w:tc>
      <w:tc>
        <w:tcPr>
          <w:tcW w:type="dxa" w:w="3120"/>
        </w:tcPr>
        <w:p>
          <w:pPr>
            <w:jc w:val="right"/>
          </w:pPr>
          <w:r>
            <w:rPr>
              <w:rFonts w:ascii="Calibri" w:hAnsi="Calibri"/>
              <w:b/>
              <w:color w:val="4A4F56"/>
              <w:sz w:val="14"/>
            </w:rPr>
            <w:t>C2C Agreement  ·  periculum.us</w:t>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tblLayout w:type="fixed"/>
      <w:tblLook w:firstColumn="1" w:firstRow="1" w:lastColumn="0" w:lastRow="0" w:noHBand="0" w:noVBand="1" w:val="04A0"/>
    </w:tblPr>
    <w:tblGrid>
      <w:gridCol w:w="5040"/>
      <w:gridCol w:w="4320"/>
    </w:tblGrid>
    <w:tr>
      <w:tc>
        <w:tcPr>
          <w:tcW w:type="dxa" w:w="4680"/>
        </w:tcPr>
        <w:p>
          <w:r>
            <w:drawing>
              <wp:inline xmlns:a="http://schemas.openxmlformats.org/drawingml/2006/main" xmlns:pic="http://schemas.openxmlformats.org/drawingml/2006/picture">
                <wp:extent cx="1828800" cy="411480"/>
                <wp:docPr id="1" name="Picture 1"/>
                <wp:cNvGraphicFramePr>
                  <a:graphicFrameLocks noChangeAspect="1"/>
                </wp:cNvGraphicFramePr>
                <a:graphic>
                  <a:graphicData uri="http://schemas.openxmlformats.org/drawingml/2006/picture">
                    <pic:pic>
                      <pic:nvPicPr>
                        <pic:cNvPr id="0" name="03_Horizontal_Compact_Light.png"/>
                        <pic:cNvPicPr/>
                      </pic:nvPicPr>
                      <pic:blipFill>
                        <a:blip r:embed="rId1"/>
                        <a:stretch>
                          <a:fillRect/>
                        </a:stretch>
                      </pic:blipFill>
                      <pic:spPr>
                        <a:xfrm>
                          <a:off x="0" y="0"/>
                          <a:ext cx="1828800" cy="411480"/>
                        </a:xfrm>
                        <a:prstGeom prst="rect"/>
                      </pic:spPr>
                    </pic:pic>
                  </a:graphicData>
                </a:graphic>
              </wp:inline>
            </w:drawing>
          </w:r>
        </w:p>
      </w:tc>
      <w:tc>
        <w:tcPr>
          <w:tcW w:type="dxa" w:w="4680"/>
        </w:tcPr>
        <w:p>
          <w:pPr>
            <w:jc w:val="right"/>
          </w:pPr>
          <w:r>
            <w:rPr>
              <w:rFonts w:ascii="Calibri" w:hAnsi="Calibri"/>
              <w:b/>
              <w:color w:val="2A332A"/>
              <w:sz w:val="18"/>
            </w:rPr>
            <w:t>Periculum LLC</w:t>
          </w:r>
          <w:r>
            <w:rPr>
              <w:rFonts w:ascii="Calibri" w:hAnsi="Calibri"/>
              <w:color w:val="4A4F56"/>
              <w:sz w:val="16"/>
            </w:rPr>
            <w:br/>
            <w:t>Plano, Texas  ·  connect@periculum.us</w:t>
          </w:r>
        </w:p>
      </w:tc>
    </w:tr>
  </w:tbl>
  <w:p>
    <w:r>
      <w:rPr>
        <w:rFonts w:ascii="Calibri" w:hAnsi="Calibri"/>
        <w:color w:val="C2A96A"/>
        <w:sz w:val="12"/>
      </w:rPr>
      <w: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