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2A96A"/>
          <w:sz w:val="18"/>
        </w:rPr>
        <w:t>AGREEMENT  ·  MASTER ADVISORY SERVICES (RETAINER)</w:t>
      </w:r>
    </w:p>
    <w:p>
      <w:r>
        <w:rPr>
          <w:rFonts w:ascii="Cambria" w:hAnsi="Cambria"/>
          <w:color w:val="3E5C3C"/>
          <w:sz w:val="52"/>
        </w:rPr>
        <w:t>Master Services &amp; Retainer Agreement</w:t>
      </w:r>
    </w:p>
    <w:p>
      <w:r>
        <w:rPr>
          <w:rFonts w:ascii="Cambria" w:hAnsi="Cambria"/>
          <w:i/>
          <w:color w:val="3E5C3C"/>
          <w:sz w:val="24"/>
        </w:rPr>
        <w:t>For direct, ongoing advisory engagements between Periculum LLC and a client (typically fractional CRO/CISO retainers, board advisory retainers, or recurring monthly advisory). Governed by Texas law.</w:t>
      </w:r>
    </w:p>
    <w:p>
      <w:r>
        <w:rPr>
          <w:rFonts w:ascii="Calibri" w:hAnsi="Calibri"/>
          <w:b/>
          <w:color w:val="A03A2B"/>
          <w:sz w:val="18"/>
        </w:rPr>
        <w:t>⚠ TEMPLATE - NOT LEGAL ADVICE</w:t>
      </w:r>
    </w:p>
    <w:p>
      <w:r>
        <w:rPr>
          <w:rFonts w:ascii="Calibri" w:hAnsi="Calibri"/>
          <w:i/>
          <w:color w:val="4A4F56"/>
          <w:sz w:val="18"/>
        </w:rPr>
        <w:t>This document is a template provided for convenience. It is not legal advice. Before signing this agreement with any counterparty for the first time — and certainly before relying on it in a material engagement — have it reviewed by a Texas-licensed attorney. A one-time attorney review of all three Periculum contract templates typically costs USD $500–1,500 and produces a polished, business-fit set you can use repeatedly thereafter. Material edits, unusual terms, or counterparty redlines should also be reviewed by counsel.</w:t>
      </w:r>
    </w:p>
    <w:p>
      <w:r>
        <w:rPr>
          <w:rFonts w:ascii="Calibri" w:hAnsi="Calibri"/>
          <w:color w:val="2A332A"/>
          <w:sz w:val="20"/>
        </w:rPr>
        <w:t>This Master Services &amp; Retainer Agreement (the "Agreement") is entered into as of [DATE] (the "Effective Date") between:</w:t>
      </w:r>
    </w:p>
    <w:p>
      <w:r>
        <w:rPr>
          <w:rFonts w:ascii="Calibri" w:hAnsi="Calibri"/>
          <w:color w:val="2A332A"/>
          <w:sz w:val="20"/>
        </w:rPr>
        <w:t>Periculum LLC, a Texas limited liability company with its principal place of business in Plano, Texas ("Periculum"); and</w:t>
      </w:r>
    </w:p>
    <w:p>
      <w:r>
        <w:rPr>
          <w:rFonts w:ascii="Calibri" w:hAnsi="Calibri"/>
          <w:color w:val="2A332A"/>
          <w:sz w:val="20"/>
        </w:rPr>
        <w:t>[CLIENT NAME], a [STATE] [ENTITY TYPE] with its principal place of business at [ADDRESS] (the "Client").</w:t>
      </w:r>
    </w:p>
    <w:p>
      <w:r>
        <w:rPr>
          <w:rFonts w:ascii="Calibri" w:hAnsi="Calibri"/>
          <w:color w:val="2A332A"/>
          <w:sz w:val="20"/>
        </w:rPr>
        <w:t>The Client wishes to retain Periculum to provide advisory services. The specific services, fees, and term are set forth in one or more Statements of Work (each, an "SOW") and, in the case of recurring engagements, in a separately attached Retainer Schedule. The Parties agree as follows.</w:t>
      </w:r>
    </w:p>
    <w:p>
      <w:r>
        <w:rPr>
          <w:rFonts w:ascii="Cambria" w:hAnsi="Cambria"/>
          <w:b/>
          <w:color w:val="3E5C3C"/>
          <w:sz w:val="26"/>
        </w:rPr>
        <w:t>1.  Services</w:t>
      </w:r>
    </w:p>
    <w:p>
      <w:r>
        <w:rPr>
          <w:rFonts w:ascii="Calibri" w:hAnsi="Calibri"/>
          <w:color w:val="2A332A"/>
          <w:sz w:val="20"/>
        </w:rPr>
        <w:t>Periculum shall provide the advisory services described in each executed SOW. Services may include strategic advisory, board briefings, fractional CRO or CISO support, program build and audit-readiness work, platform GTM advisory, and education or capability programming, in each case as specified in the applicable SOW.</w:t>
      </w:r>
    </w:p>
    <w:p>
      <w:r>
        <w:rPr>
          <w:rFonts w:ascii="Cambria" w:hAnsi="Cambria"/>
          <w:b/>
          <w:color w:val="3E5C3C"/>
          <w:sz w:val="26"/>
        </w:rPr>
        <w:t>2.  Retainer; Fees; Expenses</w:t>
      </w:r>
    </w:p>
    <w:p>
      <w:r>
        <w:rPr>
          <w:rFonts w:ascii="Calibri" w:hAnsi="Calibri"/>
          <w:color w:val="2A332A"/>
          <w:sz w:val="20"/>
        </w:rPr>
        <w:t>Where the engagement is structured as a recurring retainer, the Client shall pay Periculum the monthly retainer fee set forth in the SOW or Retainer Schedule in advance of each month. Project-based or hourly fees, if any, are billed as set forth in the applicable SOW. Unless an SOW states otherwise, all invoices are due net thirty (30) days from the invoice date. Late payments accrue interest at one percent (1%) per month, or the maximum permitted by Texas law, whichever is less. Reasonable, pre-approved out-of-pocket expenses are reimbursable at cost without markup.</w:t>
      </w:r>
    </w:p>
    <w:p>
      <w:r>
        <w:rPr>
          <w:rFonts w:ascii="Cambria" w:hAnsi="Cambria"/>
          <w:b/>
          <w:color w:val="3E5C3C"/>
          <w:sz w:val="26"/>
        </w:rPr>
        <w:t>3.  Periculum's Methodology</w:t>
      </w:r>
    </w:p>
    <w:p>
      <w:r>
        <w:rPr>
          <w:rFonts w:ascii="Calibri" w:hAnsi="Calibri"/>
          <w:color w:val="2A332A"/>
          <w:sz w:val="20"/>
        </w:rPr>
        <w:t>Periculum will perform the services using its proprietary methodology, including without limitation the 6A Compass (Align, Assess, Architect, Activate, Assure, Adapt) and related frameworks. The methodology and frameworks are proprietary to Periculum.</w:t>
      </w:r>
    </w:p>
    <w:p>
      <w:r>
        <w:rPr>
          <w:rFonts w:ascii="Cambria" w:hAnsi="Cambria"/>
          <w:b/>
          <w:color w:val="3E5C3C"/>
          <w:sz w:val="26"/>
        </w:rPr>
        <w:t>4.  Confidentiality</w:t>
      </w:r>
    </w:p>
    <w:p>
      <w:r>
        <w:rPr>
          <w:rFonts w:ascii="Calibri" w:hAnsi="Calibri"/>
          <w:color w:val="2A332A"/>
          <w:sz w:val="20"/>
        </w:rPr>
        <w:t>The Parties' confidentiality obligations regarding information exchanged under this Agreement are governed by the Mutual Non-Disclosure Agreement between the Parties dated [NDA DATE], which is incorporated herein by reference. Periculum shall treat all client material as Confidential Information and shall not use client material to train external AI systems, repackage in marketing materials, or disclose other than as expressly permitted by the Client or required by law.</w:t>
      </w:r>
    </w:p>
    <w:p>
      <w:r>
        <w:rPr>
          <w:rFonts w:ascii="Cambria" w:hAnsi="Cambria"/>
          <w:b/>
          <w:color w:val="3E5C3C"/>
          <w:sz w:val="26"/>
        </w:rPr>
        <w:t>5.  Intellectual Property</w:t>
      </w:r>
    </w:p>
    <w:p>
      <w:r>
        <w:rPr>
          <w:rFonts w:ascii="Calibri" w:hAnsi="Calibri"/>
          <w:color w:val="2A332A"/>
          <w:sz w:val="20"/>
        </w:rPr>
        <w:t>Each Party retains all rights, title, and interest in and to its respective pre-existing intellectual property. Periculum retains all rights in its methodology, frameworks, templates, and pre-existing materials. Work product specifically created for the Client under an SOW (excluding Periculum's pre-existing materials and methodology) shall be owned by the Client upon full payment of the fees for the applicable SOW; provided that Periculum may retain copies of deliverables for internal records and may use generalized, anonymized lessons learned for its own continuing professional development and for thought leadership, in each case without disclosing Client-identifying information.</w:t>
      </w:r>
    </w:p>
    <w:p>
      <w:r>
        <w:rPr>
          <w:rFonts w:ascii="Cambria" w:hAnsi="Cambria"/>
          <w:b/>
          <w:color w:val="3E5C3C"/>
          <w:sz w:val="26"/>
        </w:rPr>
        <w:t>6.  No Fiduciary Duty</w:t>
      </w:r>
    </w:p>
    <w:p>
      <w:r>
        <w:rPr>
          <w:rFonts w:ascii="Calibri" w:hAnsi="Calibri"/>
          <w:color w:val="2A332A"/>
          <w:sz w:val="20"/>
        </w:rPr>
        <w:t>Periculum is providing advisory services as an independent contractor. Nothing in this Agreement creates a fiduciary, partnership, joint venture, or agency relationship between the Parties. Periculum's advice is informational and shall be applied by the Client at the Client's discretion and risk; the Client retains ultimate responsibility for all business decisions based on or informed by the services.</w:t>
      </w:r>
    </w:p>
    <w:p>
      <w:r>
        <w:rPr>
          <w:rFonts w:ascii="Cambria" w:hAnsi="Cambria"/>
          <w:b/>
          <w:color w:val="3E5C3C"/>
          <w:sz w:val="26"/>
        </w:rPr>
        <w:t>7.  Limitation of Liability</w:t>
      </w:r>
    </w:p>
    <w:p>
      <w:r>
        <w:rPr>
          <w:rFonts w:ascii="Calibri" w:hAnsi="Calibri"/>
          <w:color w:val="2A332A"/>
          <w:sz w:val="20"/>
        </w:rPr>
        <w:t>EXCEPT FOR (A) BREACHES OF CONFIDENTIALITY, (B) INDEMNIFICATION OBLIGATIONS, AND (C) FRAUD OR WILLFUL MISCONDUCT, NEITHER PARTY SHALL BE LIABLE FOR INDIRECT, INCIDENTAL, SPECIAL, CONSEQUENTIAL, EXEMPLARY, OR PUNITIVE DAMAGES, INCLUDING WITHOUT LIMITATION LOST PROFITS, LOST DATA, OR BUSINESS INTERRUPTION. PERICULUM'S AGGREGATE LIABILITY UNDER OR IN CONNECTION WITH THIS AGREEMENT SHALL NOT EXCEED THE FEES ACTUALLY PAID BY THE CLIENT TO PERICULUM IN THE TWELVE (12) MONTHS PRECEDING THE EVENT GIVING RISE TO THE CLAIM.</w:t>
      </w:r>
    </w:p>
    <w:p>
      <w:r>
        <w:rPr>
          <w:rFonts w:ascii="Cambria" w:hAnsi="Cambria"/>
          <w:b/>
          <w:color w:val="3E5C3C"/>
          <w:sz w:val="26"/>
        </w:rPr>
        <w:t>8.  Indemnification</w:t>
      </w:r>
    </w:p>
    <w:p>
      <w:r>
        <w:rPr>
          <w:rFonts w:ascii="Calibri" w:hAnsi="Calibri"/>
          <w:color w:val="2A332A"/>
          <w:sz w:val="20"/>
        </w:rPr>
        <w:t>Each Party shall defend, indemnify, and hold the other harmless from and against any third-party claim arising out of the indemnifying Party's (a) breach of its representations or warranties under this Agreement; (b) violation of applicable law; or (c) gross negligence or willful misconduct, in each case in connection with the services. The indemnified Party shall promptly notify the indemnifying Party in writing of any such claim and shall reasonably cooperate in the defense.</w:t>
      </w:r>
    </w:p>
    <w:p>
      <w:r>
        <w:rPr>
          <w:rFonts w:ascii="Cambria" w:hAnsi="Cambria"/>
          <w:b/>
          <w:color w:val="3E5C3C"/>
          <w:sz w:val="26"/>
        </w:rPr>
        <w:t>9.  Insurance</w:t>
      </w:r>
    </w:p>
    <w:p>
      <w:r>
        <w:rPr>
          <w:rFonts w:ascii="Calibri" w:hAnsi="Calibri"/>
          <w:color w:val="2A332A"/>
          <w:sz w:val="20"/>
        </w:rPr>
        <w:t>The Parties acknowledge that, as of the Effective Date, Periculum is a sole-principal advisory firm that may not yet carry professional liability or general liability insurance. The limitation of liability in Section 7 reflects this. Where a specific SOW or client requirement obligates Periculum to maintain insurance during an engagement, Periculum shall obtain such coverage in the amounts specified and shall provide a certificate of insurance upon request. The Client acknowledges that the absence of such insurance has been disclosed and accepted.</w:t>
      </w:r>
    </w:p>
    <w:p>
      <w:r>
        <w:rPr>
          <w:rFonts w:ascii="Cambria" w:hAnsi="Cambria"/>
          <w:b/>
          <w:color w:val="3E5C3C"/>
          <w:sz w:val="26"/>
        </w:rPr>
        <w:t>10.  Non-Solicitation</w:t>
      </w:r>
    </w:p>
    <w:p>
      <w:r>
        <w:rPr>
          <w:rFonts w:ascii="Calibri" w:hAnsi="Calibri"/>
          <w:color w:val="2A332A"/>
          <w:sz w:val="20"/>
        </w:rPr>
        <w:t>During the term of this Agreement and for one (1) year following its termination, neither Party shall, without the prior written consent of the other, knowingly solicit for employment any then-current employee or independent contractor of the other Party with whom such Party had material contact in connection with this Agreement. General advertisements and recruiter searches not directed specifically at such individuals do not violate this Section.</w:t>
      </w:r>
    </w:p>
    <w:p>
      <w:r>
        <w:rPr>
          <w:rFonts w:ascii="Cambria" w:hAnsi="Cambria"/>
          <w:b/>
          <w:color w:val="3E5C3C"/>
          <w:sz w:val="26"/>
        </w:rPr>
        <w:t>11.  Term and Termination</w:t>
      </w:r>
    </w:p>
    <w:p>
      <w:r>
        <w:rPr>
          <w:rFonts w:ascii="Calibri" w:hAnsi="Calibri"/>
          <w:color w:val="2A332A"/>
          <w:sz w:val="20"/>
        </w:rPr>
        <w:t>This Agreement begins on the Effective Date and continues until terminated. Either Party may terminate this Agreement or any SOW for convenience by providing thirty (30) days' written notice. Termination of a retainer SOW is effective at the end of the then-current paid retainer month. Either Party may terminate immediately upon written notice if the other Party (a) materially breaches this Agreement and fails to cure within fifteen (15) days after written notice, or (b) becomes insolvent, files for bankruptcy, or makes an assignment for the benefit of creditors. Sections 4, 5, 6, 7, 8, and 10–15 survive termination.</w:t>
      </w:r>
    </w:p>
    <w:p>
      <w:r>
        <w:rPr>
          <w:rFonts w:ascii="Cambria" w:hAnsi="Cambria"/>
          <w:b/>
          <w:color w:val="3E5C3C"/>
          <w:sz w:val="26"/>
        </w:rPr>
        <w:t>12.  Independent Contractor</w:t>
      </w:r>
    </w:p>
    <w:p>
      <w:r>
        <w:rPr>
          <w:rFonts w:ascii="Calibri" w:hAnsi="Calibri"/>
          <w:color w:val="2A332A"/>
          <w:sz w:val="20"/>
        </w:rPr>
        <w:t>Periculum is an independent contractor and not an employee, agent, partner, joint venturer, or fiduciary of the Client. Periculum is responsible for its own taxes (federal, state, and self-employment), benefits, and any required licenses.</w:t>
      </w:r>
    </w:p>
    <w:p>
      <w:r>
        <w:rPr>
          <w:rFonts w:ascii="Cambria" w:hAnsi="Cambria"/>
          <w:b/>
          <w:color w:val="3E5C3C"/>
          <w:sz w:val="26"/>
        </w:rPr>
        <w:t>13.  Governing Law; Forum</w:t>
      </w:r>
    </w:p>
    <w:p>
      <w:r>
        <w:rPr>
          <w:rFonts w:ascii="Calibri" w:hAnsi="Calibri"/>
          <w:color w:val="2A332A"/>
          <w:sz w:val="20"/>
        </w:rPr>
        <w:t>This Agreement is governed by the laws of the State of Texas, without regard to its conflict-of-laws principles. Any dispute arising under or in connection with this Agreement shall be brought exclusively in the state or federal courts located in Collin County, Texas.</w:t>
      </w:r>
    </w:p>
    <w:p>
      <w:r>
        <w:rPr>
          <w:rFonts w:ascii="Cambria" w:hAnsi="Cambria"/>
          <w:b/>
          <w:color w:val="3E5C3C"/>
          <w:sz w:val="26"/>
        </w:rPr>
        <w:t>14.  Notices</w:t>
      </w:r>
    </w:p>
    <w:p>
      <w:r>
        <w:rPr>
          <w:rFonts w:ascii="Calibri" w:hAnsi="Calibri"/>
          <w:color w:val="2A332A"/>
          <w:sz w:val="20"/>
        </w:rPr>
        <w:t>Notices under this Agreement shall be in writing and delivered to the addresses set forth above (or such other address as a Party may designate in writing) by email with confirmation of delivery, by overnight courier, or by U.S. certified mail, return receipt requested.</w:t>
      </w:r>
    </w:p>
    <w:p>
      <w:r>
        <w:rPr>
          <w:rFonts w:ascii="Cambria" w:hAnsi="Cambria"/>
          <w:b/>
          <w:color w:val="3E5C3C"/>
          <w:sz w:val="26"/>
        </w:rPr>
        <w:t>15.  Entire Agreement; Amendments</w:t>
      </w:r>
    </w:p>
    <w:p>
      <w:r>
        <w:rPr>
          <w:rFonts w:ascii="Calibri" w:hAnsi="Calibri"/>
          <w:color w:val="2A332A"/>
          <w:sz w:val="20"/>
        </w:rPr>
        <w:t>This Agreement, together with any executed SOWs, Retainer Schedules, and the Mutual NDA referenced in Section 4, constitutes the entire agreement between the Parties on its subject matter. No amendment is effective unless in writing and signed by both Parties.</w:t>
      </w:r>
    </w:p>
    <w:p/>
    <w:p>
      <w:r>
        <w:rPr>
          <w:rFonts w:ascii="Calibri" w:hAnsi="Calibri"/>
          <w:b/>
          <w:color w:val="C2A96A"/>
          <w:sz w:val="20"/>
        </w:rPr>
        <w:t>SIGNATURES</w:t>
      </w:r>
    </w:p>
    <w:tbl>
      <w:tblPr>
        <w:tblW w:type="auto" w:w="0"/>
        <w:tblLayout w:type="fixed"/>
        <w:tblLook w:firstColumn="1" w:firstRow="1" w:lastColumn="0" w:lastRow="0" w:noHBand="0" w:noVBand="1" w:val="04A0"/>
      </w:tblPr>
      <w:tblGrid>
        <w:gridCol w:w="4320"/>
        <w:gridCol w:w="4320"/>
      </w:tblGrid>
      <w:tr>
        <w:tc>
          <w:tcPr>
            <w:tcW w:type="dxa" w:w="4680"/>
          </w:tcPr>
          <w:p>
            <w:r>
              <w:rPr>
                <w:rFonts w:ascii="Calibri" w:hAnsi="Calibri"/>
                <w:b/>
                <w:color w:val="C2A96A"/>
                <w:sz w:val="18"/>
              </w:rPr>
              <w:t>PERICULUM LLC</w:t>
            </w:r>
          </w:p>
        </w:tc>
        <w:tc>
          <w:tcPr>
            <w:tcW w:type="dxa" w:w="4680"/>
          </w:tcPr>
          <w:p>
            <w:r>
              <w:rPr>
                <w:rFonts w:ascii="Calibri" w:hAnsi="Calibri"/>
                <w:b/>
                <w:color w:val="C2A96A"/>
                <w:sz w:val="18"/>
              </w:rPr>
              <w:t>COUNTERPARTY</w:t>
            </w:r>
          </w:p>
        </w:tc>
      </w:tr>
      <w:tr>
        <w:tc>
          <w:tcPr>
            <w:tcW w:type="dxa" w:w="4680"/>
          </w:tcPr>
          <w:p>
            <w:r>
              <w:rPr>
                <w:rFonts w:ascii="Calibri" w:hAnsi="Calibri"/>
                <w:color w:val="2A332A"/>
                <w:sz w:val="20"/>
              </w:rPr>
              <w:t>Signature:</w:t>
            </w:r>
          </w:p>
        </w:tc>
        <w:tc>
          <w:tcPr>
            <w:tcW w:type="dxa" w:w="4680"/>
          </w:tcPr>
          <w:p>
            <w:r>
              <w:rPr>
                <w:rFonts w:ascii="Calibri" w:hAnsi="Calibri"/>
                <w:color w:val="2A332A"/>
                <w:sz w:val="20"/>
              </w:rPr>
              <w:t>Signature:</w:t>
            </w:r>
          </w:p>
        </w:tc>
      </w:tr>
      <w:tr>
        <w:tc>
          <w:tcPr>
            <w:tcW w:type="dxa" w:w="4680"/>
          </w:tcPr>
          <w:p>
            <w:r>
              <w:rPr>
                <w:rFonts w:ascii="Calibri" w:hAnsi="Calibri"/>
                <w:color w:val="2A332A"/>
                <w:sz w:val="20"/>
              </w:rPr>
              <w:t>Name: Sailakshmi (Sai) Santhanakrishnan</w:t>
            </w:r>
          </w:p>
        </w:tc>
        <w:tc>
          <w:tcPr>
            <w:tcW w:type="dxa" w:w="4680"/>
          </w:tcPr>
          <w:p>
            <w:r>
              <w:rPr>
                <w:rFonts w:ascii="Calibri" w:hAnsi="Calibri"/>
                <w:color w:val="2A332A"/>
                <w:sz w:val="20"/>
              </w:rPr>
              <w:t>Name: [Counterparty signatory]</w:t>
            </w:r>
          </w:p>
        </w:tc>
      </w:tr>
      <w:tr>
        <w:tc>
          <w:tcPr>
            <w:tcW w:type="dxa" w:w="4680"/>
          </w:tcPr>
          <w:p>
            <w:r>
              <w:rPr>
                <w:rFonts w:ascii="Calibri" w:hAnsi="Calibri"/>
                <w:color w:val="2A332A"/>
                <w:sz w:val="20"/>
              </w:rPr>
              <w:t>Title: Founder &amp; Principal Advisor</w:t>
            </w:r>
          </w:p>
        </w:tc>
        <w:tc>
          <w:tcPr>
            <w:tcW w:type="dxa" w:w="4680"/>
          </w:tcPr>
          <w:p>
            <w:r>
              <w:rPr>
                <w:rFonts w:ascii="Calibri" w:hAnsi="Calibri"/>
                <w:color w:val="2A332A"/>
                <w:sz w:val="20"/>
              </w:rPr>
              <w:t>Title: [Title]</w:t>
            </w:r>
          </w:p>
        </w:tc>
      </w:tr>
      <w:tr>
        <w:tc>
          <w:tcPr>
            <w:tcW w:type="dxa" w:w="4680"/>
          </w:tcPr>
          <w:p>
            <w:r>
              <w:rPr>
                <w:rFonts w:ascii="Calibri" w:hAnsi="Calibri"/>
                <w:color w:val="2A332A"/>
                <w:sz w:val="20"/>
              </w:rPr>
              <w:t>Date:</w:t>
            </w:r>
          </w:p>
        </w:tc>
        <w:tc>
          <w:tcPr>
            <w:tcW w:type="dxa" w:w="4680"/>
          </w:tcPr>
          <w:p>
            <w:r>
              <w:rPr>
                <w:rFonts w:ascii="Calibri" w:hAnsi="Calibri"/>
                <w:color w:val="2A332A"/>
                <w:sz w:val="20"/>
              </w:rPr>
              <w:t>Date:</w:t>
            </w:r>
          </w:p>
        </w:tc>
      </w:tr>
    </w:tbl>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600"/>
      <w:gridCol w:w="2160"/>
      <w:gridCol w:w="3600"/>
    </w:tblGrid>
    <w:tr>
      <w:tc>
        <w:tcPr>
          <w:tcW w:type="dxa" w:w="3120"/>
        </w:tcPr>
        <w:p>
          <w:r>
            <w:rPr>
              <w:rFonts w:ascii="Calibri" w:hAnsi="Calibri"/>
              <w:b/>
              <w:color w:val="4A4F56"/>
              <w:sz w:val="14"/>
            </w:rPr>
            <w:t>Periculum LLC  ·  Founded 2016  ·  Plano, Texas</w:t>
          </w:r>
        </w:p>
      </w:tc>
      <w:tc>
        <w:tcPr>
          <w:tcW w:type="dxa" w:w="3120"/>
        </w:tcPr>
        <w:p>
          <w:pPr>
            <w:jc w:val="center"/>
          </w:pPr>
          <w:r>
            <w:rPr>
              <w:rFonts w:ascii="Calibri" w:hAnsi="Calibri"/>
              <w:b/>
              <w:color w:val="C2A96A"/>
              <w:sz w:val="16"/>
            </w:rPr>
            <w:t>CONFIDENTIAL</w:t>
          </w:r>
        </w:p>
      </w:tc>
      <w:tc>
        <w:tcPr>
          <w:tcW w:type="dxa" w:w="3120"/>
        </w:tcPr>
        <w:p>
          <w:pPr>
            <w:jc w:val="right"/>
          </w:pPr>
          <w:r>
            <w:rPr>
              <w:rFonts w:ascii="Calibri" w:hAnsi="Calibri"/>
              <w:b/>
              <w:color w:val="4A4F56"/>
              <w:sz w:val="14"/>
            </w:rPr>
            <w:t>Retainer Agreement  ·  periculum.us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4320"/>
    </w:tblGrid>
    <w:tr>
      <w:tc>
        <w:tcPr>
          <w:tcW w:type="dxa" w:w="4680"/>
        </w:tcPr>
        <w:p>
          <w:r>
            <w:drawing>
              <wp:inline xmlns:a="http://schemas.openxmlformats.org/drawingml/2006/main" xmlns:pic="http://schemas.openxmlformats.org/drawingml/2006/picture">
                <wp:extent cx="1828800" cy="411480"/>
                <wp:docPr id="1" name="Picture 1"/>
                <wp:cNvGraphicFramePr>
                  <a:graphicFrameLocks noChangeAspect="1"/>
                </wp:cNvGraphicFramePr>
                <a:graphic>
                  <a:graphicData uri="http://schemas.openxmlformats.org/drawingml/2006/picture">
                    <pic:pic>
                      <pic:nvPicPr>
                        <pic:cNvPr id="0" name="03_Horizontal_Compact_Light.png"/>
                        <pic:cNvPicPr/>
                      </pic:nvPicPr>
                      <pic:blipFill>
                        <a:blip r:embed="rId1"/>
                        <a:stretch>
                          <a:fillRect/>
                        </a:stretch>
                      </pic:blipFill>
                      <pic:spPr>
                        <a:xfrm>
                          <a:off x="0" y="0"/>
                          <a:ext cx="1828800" cy="411480"/>
                        </a:xfrm>
                        <a:prstGeom prst="rect"/>
                      </pic:spPr>
                    </pic:pic>
                  </a:graphicData>
                </a:graphic>
              </wp:inline>
            </w:drawing>
          </w:r>
        </w:p>
      </w:tc>
      <w:tc>
        <w:tcPr>
          <w:tcW w:type="dxa" w:w="4680"/>
        </w:tcPr>
        <w:p>
          <w:pPr>
            <w:jc w:val="right"/>
          </w:pPr>
          <w:r>
            <w:rPr>
              <w:rFonts w:ascii="Calibri" w:hAnsi="Calibri"/>
              <w:b/>
              <w:color w:val="2A332A"/>
              <w:sz w:val="18"/>
            </w:rPr>
            <w:t>Periculum LLC</w:t>
          </w:r>
          <w:r>
            <w:rPr>
              <w:rFonts w:ascii="Calibri" w:hAnsi="Calibri"/>
              <w:color w:val="4A4F56"/>
              <w:sz w:val="16"/>
            </w:rPr>
            <w:br/>
            <w:t>Plano, Texas  ·  connect@periculum.us</w:t>
          </w:r>
        </w:p>
      </w:tc>
    </w:tr>
  </w:tbl>
  <w:p>
    <w:r>
      <w:rPr>
        <w:rFonts w:ascii="Calibri" w:hAnsi="Calibri"/>
        <w:color w:val="C2A96A"/>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