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3E5C3C"/>
          <w:sz w:val="32"/>
          <w:szCs w:val="32"/>
        </w:rPr>
        <w:t xml:space="preserve">MASTER SERVICES &amp; RETAINER AGREEMENT</w:t>
      </w:r>
    </w:p>
    <w:p>
      <w:pPr>
        <w:spacing w:after="60" w:before="0"/>
        <w:jc w:val="center"/>
      </w:pPr>
      <w:r>
        <w:rPr>
          <w:rFonts w:ascii="Arial" w:cs="Arial" w:eastAsia="Arial" w:hAnsi="Arial"/>
          <w:color w:val="666666"/>
          <w:sz w:val="20"/>
          <w:szCs w:val="20"/>
        </w:rPr>
        <w:t xml:space="preserve">Periculum LLC  ·  Governed by the Laws of the State of Texas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180"/>
              <w:bottom w:type="dxa" w:w="120"/>
              <w:right w:type="dxa" w:w="180"/>
            </w:tcMar>
          </w:tcPr>
          <w:p>
            <w:pPr>
              <w:spacing w:after="40" w:before="40"/>
            </w:pPr>
            <w:r>
              <w:rPr>
                <w:rFonts w:ascii="Arial" w:cs="Arial" w:eastAsia="Arial" w:hAnsi="Arial"/>
                <w:color w:val="7A5C00"/>
                <w:sz w:val="18"/>
                <w:szCs w:val="18"/>
              </w:rPr>
              <w:t xml:space="preserve">⚠  TEMPLATE — NOT LEGAL ADVICE</w:t>
            </w:r>
          </w:p>
          <w:p>
            <w:pPr>
              <w:spacing w:after="40" w:before="40"/>
            </w:pPr>
            <w:r>
              <w:rPr>
                <w:rFonts w:ascii="Arial" w:cs="Arial" w:eastAsia="Arial" w:hAnsi="Arial"/>
                <w:color w:val="7A5C00"/>
                <w:sz w:val="18"/>
                <w:szCs w:val="18"/>
              </w:rPr>
              <w:t xml:space="preserve">This document is a template for convenience only. Have it reviewed by a Texas-licensed attorney before signing with any counterparty for the first time.</w:t>
            </w:r>
          </w:p>
        </w:tc>
      </w:tr>
    </w:tbl>
    <w:p>
      <w:pPr>
        <w:spacing w:after="80" w:before="80"/>
      </w:pPr>
      <w:r>
        <w:t xml:space="preserve"/>
      </w:r>
    </w:p>
    <w:p>
      <w:pPr>
        <w:spacing w:after="80" w:before="80"/>
      </w:pPr>
      <w:r>
        <w:rPr>
          <w:rFonts w:ascii="Arial" w:cs="Arial" w:eastAsia="Arial" w:hAnsi="Arial"/>
          <w:color w:val="2A332A"/>
          <w:sz w:val="20"/>
          <w:szCs w:val="20"/>
        </w:rPr>
        <w:t xml:space="preserve">This Master Services &amp; Retainer Agreement (the "Agreement") is entered into as of _______________ (the "Effective Date") between:</w:t>
      </w:r>
    </w:p>
    <w:p>
      <w:pPr>
        <w:spacing w:after="80" w:before="80"/>
      </w:pPr>
      <w:r>
        <w:t xml:space="preserve"/>
      </w:r>
    </w:p>
    <w:p>
      <w:pPr>
        <w:spacing w:after="80" w:before="80"/>
      </w:pPr>
      <w:r>
        <w:rPr>
          <w:rFonts w:ascii="Arial" w:cs="Arial" w:eastAsia="Arial" w:hAnsi="Arial"/>
          <w:b/>
          <w:bCs/>
          <w:color w:val="2A332A"/>
          <w:sz w:val="20"/>
          <w:szCs w:val="20"/>
        </w:rPr>
        <w:t xml:space="preserve">Periculum LLC, a Texas limited liability company with its principal place of business in Plano, Texas ("Periculum"); and</w:t>
      </w:r>
    </w:p>
    <w:p>
      <w:pPr>
        <w:spacing w:after="80" w:before="80"/>
      </w:pPr>
      <w:r>
        <w:t xml:space="preserve"/>
      </w:r>
    </w:p>
    <w:p>
      <w:pPr>
        <w:spacing w:after="80" w:before="80"/>
      </w:pPr>
      <w:r>
        <w:rPr>
          <w:rFonts w:ascii="Arial" w:cs="Arial" w:eastAsia="Arial" w:hAnsi="Arial"/>
          <w:b/>
          <w:bCs/>
          <w:color w:val="2A332A"/>
          <w:sz w:val="20"/>
          <w:szCs w:val="20"/>
        </w:rPr>
        <w:t xml:space="preserve">[CLIENT NAME], a [STATE] [ENTITY TYPE] with its principal place of business at [ADDRESS] (the "Client").</w:t>
      </w:r>
    </w:p>
    <w:p>
      <w:pPr>
        <w:spacing w:after="80" w:before="80"/>
      </w:pPr>
      <w:r>
        <w:t xml:space="preserve"/>
      </w:r>
    </w:p>
    <w:p>
      <w:pPr>
        <w:spacing w:after="80" w:before="80"/>
      </w:pPr>
      <w:r>
        <w:rPr>
          <w:rFonts w:ascii="Arial" w:cs="Arial" w:eastAsia="Arial" w:hAnsi="Arial"/>
          <w:color w:val="2A332A"/>
          <w:sz w:val="20"/>
          <w:szCs w:val="20"/>
        </w:rPr>
        <w:t xml:space="preserve">The Client wishes to retain Periculum to provide advisory services. Specific services, fees, and terms are set forth in one or more Statements of Work ("SOW") executed under this Agreement.</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  Services</w:t>
      </w:r>
    </w:p>
    <w:p>
      <w:pPr>
        <w:spacing w:after="80" w:before="80"/>
      </w:pPr>
      <w:r>
        <w:rPr>
          <w:rFonts w:ascii="Arial" w:cs="Arial" w:eastAsia="Arial" w:hAnsi="Arial"/>
          <w:color w:val="2A332A"/>
          <w:sz w:val="20"/>
          <w:szCs w:val="20"/>
        </w:rPr>
        <w:t xml:space="preserve">Periculum shall provide advisory services as described in each executed SOW. Services may include:</w:t>
      </w:r>
    </w:p>
    <w:p>
      <w:pPr>
        <w:pStyle w:val="ListParagraph"/>
        <w:numPr>
          <w:ilvl w:val="0"/>
          <w:numId w:val="2"/>
        </w:numPr>
        <w:spacing w:after="60" w:before="60"/>
      </w:pPr>
      <w:r>
        <w:rPr>
          <w:rFonts w:ascii="Arial" w:cs="Arial" w:eastAsia="Arial" w:hAnsi="Arial"/>
          <w:color w:val="2A332A"/>
          <w:sz w:val="20"/>
          <w:szCs w:val="20"/>
        </w:rPr>
        <w:t xml:space="preserve">AI Governance Advisory — EU AI Act readiness, ISO/IEC 42001, NIST AI RMF, board AI oversight, AI vendor due diligence;</w:t>
      </w:r>
    </w:p>
    <w:p>
      <w:pPr>
        <w:pStyle w:val="ListParagraph"/>
        <w:numPr>
          <w:ilvl w:val="0"/>
          <w:numId w:val="2"/>
        </w:numPr>
        <w:spacing w:after="60" w:before="60"/>
      </w:pPr>
      <w:r>
        <w:rPr>
          <w:rFonts w:ascii="Arial" w:cs="Arial" w:eastAsia="Arial" w:hAnsi="Arial"/>
          <w:color w:val="2A332A"/>
          <w:sz w:val="20"/>
          <w:szCs w:val="20"/>
        </w:rPr>
        <w:t xml:space="preserve">Cybersecurity &amp; Risk Advisory — Fractional CISO/CRO, SOC 2, ISO 27001, PCI DSS, SOX ITGC, third-party risk, incident readiness;</w:t>
      </w:r>
    </w:p>
    <w:p>
      <w:pPr>
        <w:pStyle w:val="ListParagraph"/>
        <w:numPr>
          <w:ilvl w:val="0"/>
          <w:numId w:val="2"/>
        </w:numPr>
        <w:spacing w:after="60" w:before="60"/>
      </w:pPr>
      <w:r>
        <w:rPr>
          <w:rFonts w:ascii="Arial" w:cs="Arial" w:eastAsia="Arial" w:hAnsi="Arial"/>
          <w:color w:val="2A332A"/>
          <w:sz w:val="20"/>
          <w:szCs w:val="20"/>
        </w:rPr>
        <w:t xml:space="preserve">ESG &amp; Sustainability Risk Advisory — CSRD, GRI, BRSR, CA SB 253, sustainability disclosure, ESG program design;</w:t>
      </w:r>
    </w:p>
    <w:p>
      <w:pPr>
        <w:pStyle w:val="ListParagraph"/>
        <w:numPr>
          <w:ilvl w:val="0"/>
          <w:numId w:val="2"/>
        </w:numPr>
        <w:spacing w:after="60" w:before="60"/>
      </w:pPr>
      <w:r>
        <w:rPr>
          <w:rFonts w:ascii="Arial" w:cs="Arial" w:eastAsia="Arial" w:hAnsi="Arial"/>
          <w:color w:val="2A332A"/>
          <w:sz w:val="20"/>
          <w:szCs w:val="20"/>
        </w:rPr>
        <w:t xml:space="preserve">Integrated GRC Advisory — enterprise risk operating model, board and risk-committee reporting, audit readiness;</w:t>
      </w:r>
    </w:p>
    <w:p>
      <w:pPr>
        <w:pStyle w:val="ListParagraph"/>
        <w:numPr>
          <w:ilvl w:val="0"/>
          <w:numId w:val="2"/>
        </w:numPr>
        <w:spacing w:after="60" w:before="60"/>
      </w:pPr>
      <w:r>
        <w:rPr>
          <w:rFonts w:ascii="Arial" w:cs="Arial" w:eastAsia="Arial" w:hAnsi="Arial"/>
          <w:color w:val="2A332A"/>
          <w:sz w:val="20"/>
          <w:szCs w:val="20"/>
        </w:rPr>
        <w:t xml:space="preserve">Executive Advisory Workshops &amp; Briefings — board sessions, executive offsites, SMB advisory;</w:t>
      </w:r>
    </w:p>
    <w:p>
      <w:pPr>
        <w:pStyle w:val="ListParagraph"/>
        <w:numPr>
          <w:ilvl w:val="0"/>
          <w:numId w:val="2"/>
        </w:numPr>
        <w:spacing w:after="60" w:before="60"/>
      </w:pPr>
      <w:r>
        <w:rPr>
          <w:rFonts w:ascii="Arial" w:cs="Arial" w:eastAsia="Arial" w:hAnsi="Arial"/>
          <w:color w:val="2A332A"/>
          <w:sz w:val="20"/>
          <w:szCs w:val="20"/>
        </w:rPr>
        <w:t xml:space="preserve">Reskilling Strategy &amp; Resource Reorganization — advisory on organizational capability for AI, cyber, and ESG adoption;</w:t>
      </w:r>
    </w:p>
    <w:p>
      <w:pPr>
        <w:pStyle w:val="ListParagraph"/>
        <w:numPr>
          <w:ilvl w:val="0"/>
          <w:numId w:val="2"/>
        </w:numPr>
        <w:spacing w:after="60" w:before="60"/>
      </w:pPr>
      <w:r>
        <w:rPr>
          <w:rFonts w:ascii="Arial" w:cs="Arial" w:eastAsia="Arial" w:hAnsi="Arial"/>
          <w:color w:val="2A332A"/>
          <w:sz w:val="20"/>
          <w:szCs w:val="20"/>
        </w:rPr>
        <w:t xml:space="preserve">Strategic Readiness Assessment — using the 6A Compass methodology and associated tools.</w:t>
      </w:r>
    </w:p>
    <w:p>
      <w:pPr>
        <w:pBdr>
          <w:bottom w:val="single" w:color="C2A96A" w:sz="4" w:space="4"/>
        </w:pBdr>
        <w:spacing w:after="160" w:before="320"/>
      </w:pPr>
      <w:r>
        <w:rPr>
          <w:rFonts w:ascii="Arial" w:cs="Arial" w:eastAsia="Arial" w:hAnsi="Arial"/>
          <w:b/>
          <w:bCs/>
          <w:color w:val="3E5C3C"/>
          <w:sz w:val="26"/>
          <w:szCs w:val="26"/>
        </w:rPr>
        <w:t xml:space="preserve">2.  The 6A Compass Methodology</w:t>
      </w:r>
    </w:p>
    <w:p>
      <w:pPr>
        <w:spacing w:after="80" w:before="80"/>
      </w:pPr>
      <w:r>
        <w:rPr>
          <w:rFonts w:ascii="Arial" w:cs="Arial" w:eastAsia="Arial" w:hAnsi="Arial"/>
          <w:color w:val="2A332A"/>
          <w:sz w:val="20"/>
          <w:szCs w:val="20"/>
        </w:rPr>
        <w:t xml:space="preserve">Periculum performs all engagements using its proprietary 6A Compass: Align · Assess · Architect · Activate · Assure · Adapt. The 6A Compass and all associated frameworks, tools, and templates are Periculum's Pre-Existing IP. The Client receives a limited, non-transferable internal-use license to deliverables produced under a specific SOW. See Section 7 for full IP terms.</w:t>
      </w:r>
    </w:p>
    <w:p>
      <w:pPr>
        <w:pBdr>
          <w:bottom w:val="single" w:color="C2A96A" w:sz="4" w:space="4"/>
        </w:pBdr>
        <w:spacing w:after="160" w:before="320"/>
      </w:pPr>
      <w:r>
        <w:rPr>
          <w:rFonts w:ascii="Arial" w:cs="Arial" w:eastAsia="Arial" w:hAnsi="Arial"/>
          <w:b/>
          <w:bCs/>
          <w:color w:val="3E5C3C"/>
          <w:sz w:val="26"/>
          <w:szCs w:val="26"/>
        </w:rPr>
        <w:t xml:space="preserve">3.  Fees and Engagement Structures</w:t>
      </w:r>
    </w:p>
    <w:p>
      <w:pPr>
        <w:spacing w:after="80" w:before="80"/>
      </w:pPr>
      <w:r>
        <w:rPr>
          <w:rFonts w:ascii="Arial" w:cs="Arial" w:eastAsia="Arial" w:hAnsi="Arial"/>
          <w:color w:val="2A332A"/>
          <w:sz w:val="20"/>
          <w:szCs w:val="20"/>
        </w:rPr>
        <w:t xml:space="preserve">Fees are set forth in the applicable SOW. Periculum supports: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Engagement Type</w:t>
            </w:r>
          </w:p>
        </w:tc>
        <w:tc>
          <w:tcPr>
            <w:tcW w:type="dxa" w:w="6360"/>
            <w:tcBorders>
              <w:top w:val="single" w:color="DDDDDD" w:sz="1"/>
              <w:left w:val="single" w:color="DDDDDD" w:sz="1"/>
              <w:bottom w:val="single" w:color="DDDDDD" w:sz="1"/>
              <w:right w:val="single" w:color="DDDDDD" w:sz="1"/>
            </w:tcBorders>
            <w:shd w:fill="F0F4F0" w:val="clear"/>
            <w:tcMar>
              <w:top w:type="dxa" w:w="80"/>
              <w:left w:type="dxa" w:w="120"/>
              <w:bottom w:type="dxa" w:w="80"/>
              <w:right w:type="dxa" w:w="120"/>
            </w:tcMar>
          </w:tcPr>
          <w:p>
            <w:r>
              <w:rPr>
                <w:rFonts w:ascii="Arial" w:cs="Arial" w:eastAsia="Arial" w:hAnsi="Arial"/>
                <w:b/>
                <w:bCs/>
                <w:color w:val="3E5C3C"/>
                <w:sz w:val="19"/>
                <w:szCs w:val="19"/>
              </w:rPr>
              <w:t xml:space="preserve">Fee Structure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Monthly Retainer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Fixed monthly fee billed in advance. Covers defined advisory hours and deliverables per month.</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Project-Based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Fixed fee for a defined scope. Billed per milestones agreed in the SOW.</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Hourly / T&amp;M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Billed at the hourly rate in the SOW. Invoiced monthly or bi-weekly on actual hours logged.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Board / Executive Session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332A"/>
                <w:sz w:val="19"/>
                <w:szCs w:val="19"/>
              </w:rPr>
              <w:t xml:space="preserve">Fixed per-session fee. Includes preparation, delivery, and written summary.</w:t>
            </w:r>
          </w:p>
        </w:tc>
      </w:tr>
    </w:tbl>
    <w:p>
      <w:pPr>
        <w:spacing w:after="80" w:before="80"/>
      </w:pPr>
      <w:r>
        <w:t xml:space="preserve"/>
      </w:r>
    </w:p>
    <w:p>
      <w:pPr>
        <w:spacing w:after="80" w:before="80"/>
      </w:pPr>
      <w:r>
        <w:rPr>
          <w:rFonts w:ascii="Arial" w:cs="Arial" w:eastAsia="Arial" w:hAnsi="Arial"/>
          <w:color w:val="2A332A"/>
          <w:sz w:val="20"/>
          <w:szCs w:val="20"/>
        </w:rPr>
        <w:t xml:space="preserve">Unless an SOW states otherwise, invoices are due net thirty (30) days from invoice date. Late payments accrue interest at 1% per month or the maximum permitted by Texas law. Pre-approved expenses are reimbursable at cost without markup.</w:t>
      </w:r>
    </w:p>
    <w:p>
      <w:pPr>
        <w:pBdr>
          <w:bottom w:val="single" w:color="C2A96A" w:sz="4" w:space="4"/>
        </w:pBdr>
        <w:spacing w:after="160" w:before="320"/>
      </w:pPr>
      <w:r>
        <w:rPr>
          <w:rFonts w:ascii="Arial" w:cs="Arial" w:eastAsia="Arial" w:hAnsi="Arial"/>
          <w:b/>
          <w:bCs/>
          <w:color w:val="3E5C3C"/>
          <w:sz w:val="26"/>
          <w:szCs w:val="26"/>
        </w:rPr>
        <w:t xml:space="preserve">4.  Confidentiality</w:t>
      </w:r>
    </w:p>
    <w:p>
      <w:pPr>
        <w:spacing w:after="80" w:before="80"/>
      </w:pPr>
      <w:r>
        <w:rPr>
          <w:rFonts w:ascii="Arial" w:cs="Arial" w:eastAsia="Arial" w:hAnsi="Arial"/>
          <w:color w:val="2A332A"/>
          <w:sz w:val="20"/>
          <w:szCs w:val="20"/>
        </w:rPr>
        <w:t xml:space="preserve">Confidentiality is governed by the Mutual NDA between the Parties, incorporated by reference. If no NDA is in place, each Party shall treat the other's non-public information as confidential, use it only for purposes of this Agreement, and not disclose it to third parties without prior written consent.</w:t>
      </w:r>
    </w:p>
    <w:p>
      <w:pPr>
        <w:pBdr>
          <w:bottom w:val="single" w:color="C2A96A" w:sz="4" w:space="4"/>
        </w:pBdr>
        <w:spacing w:after="160" w:before="320"/>
      </w:pPr>
      <w:r>
        <w:rPr>
          <w:rFonts w:ascii="Arial" w:cs="Arial" w:eastAsia="Arial" w:hAnsi="Arial"/>
          <w:b/>
          <w:bCs/>
          <w:color w:val="3E5C3C"/>
          <w:sz w:val="26"/>
          <w:szCs w:val="26"/>
        </w:rPr>
        <w:t xml:space="preserve">5.  Independent Contractor</w:t>
      </w:r>
    </w:p>
    <w:p>
      <w:pPr>
        <w:spacing w:after="80" w:before="80"/>
      </w:pPr>
      <w:r>
        <w:rPr>
          <w:rFonts w:ascii="Arial" w:cs="Arial" w:eastAsia="Arial" w:hAnsi="Arial"/>
          <w:color w:val="2A332A"/>
          <w:sz w:val="20"/>
          <w:szCs w:val="20"/>
        </w:rPr>
        <w:t xml:space="preserve">Periculum is an independent contractor, not an employee, agent, or partner of the Client. Periculum controls the means and manner of performing services and is responsible for its own taxes, benefits, and insurance. Periculum may serve other clients and is not obligated to exclusivity except as stated in an SOW.</w:t>
      </w:r>
    </w:p>
    <w:p>
      <w:pPr>
        <w:pBdr>
          <w:bottom w:val="single" w:color="C2A96A" w:sz="4" w:space="4"/>
        </w:pBdr>
        <w:spacing w:after="160" w:before="320"/>
      </w:pPr>
      <w:r>
        <w:rPr>
          <w:rFonts w:ascii="Arial" w:cs="Arial" w:eastAsia="Arial" w:hAnsi="Arial"/>
          <w:b/>
          <w:bCs/>
          <w:color w:val="3E5C3C"/>
          <w:sz w:val="26"/>
          <w:szCs w:val="26"/>
        </w:rPr>
        <w:t xml:space="preserve">6.  Term and Termination</w:t>
      </w:r>
    </w:p>
    <w:p>
      <w:pPr>
        <w:spacing w:after="80" w:before="80"/>
      </w:pPr>
      <w:r>
        <w:rPr>
          <w:rFonts w:ascii="Arial" w:cs="Arial" w:eastAsia="Arial" w:hAnsi="Arial"/>
          <w:color w:val="2A332A"/>
          <w:sz w:val="20"/>
          <w:szCs w:val="20"/>
        </w:rPr>
        <w:t xml:space="preserve">This Agreement commences on the Effective Date and continues until terminated. Either Party may terminate on thirty (30) days' written notice. Either Party may terminate immediately upon material breach not cured within fifteen (15) days of written notice. Upon termination, Client shall pay for all services performed and approved expenses through the termination date. Confidentiality, IP, limitation of liability, and governing law survive termination.</w:t>
      </w:r>
    </w:p>
    <w:p>
      <w:pPr>
        <w:pBdr>
          <w:bottom w:val="single" w:color="C2A96A" w:sz="4" w:space="4"/>
        </w:pBdr>
        <w:spacing w:after="160" w:before="320"/>
      </w:pPr>
      <w:r>
        <w:rPr>
          <w:rFonts w:ascii="Arial" w:cs="Arial" w:eastAsia="Arial" w:hAnsi="Arial"/>
          <w:b/>
          <w:bCs/>
          <w:color w:val="3E5C3C"/>
          <w:sz w:val="26"/>
          <w:szCs w:val="26"/>
        </w:rPr>
        <w:t xml:space="preserve">7.  Intellectual Property</w:t>
      </w:r>
    </w:p>
    <w:p>
      <w:pPr>
        <w:spacing w:after="120" w:before="240"/>
      </w:pPr>
      <w:r>
        <w:rPr>
          <w:rFonts w:ascii="Arial" w:cs="Arial" w:eastAsia="Arial" w:hAnsi="Arial"/>
          <w:b/>
          <w:bCs/>
          <w:color w:val="3E5C3C"/>
          <w:sz w:val="22"/>
          <w:szCs w:val="22"/>
        </w:rPr>
        <w:t xml:space="preserve">7.1  Pre-Existing IP</w:t>
      </w:r>
    </w:p>
    <w:p>
      <w:pPr>
        <w:spacing w:after="80" w:before="80"/>
      </w:pPr>
      <w:r>
        <w:rPr>
          <w:rFonts w:ascii="Arial" w:cs="Arial" w:eastAsia="Arial" w:hAnsi="Arial"/>
          <w:color w:val="2A332A"/>
          <w:sz w:val="20"/>
          <w:szCs w:val="20"/>
        </w:rPr>
        <w:t xml:space="preserve">Each Party retains all rights in its Pre-Existing IP. Periculum's Pre-Existing IP includes the 6A Compass methodology, all assessment instruments, scoring tools, templates, frameworks, and all AI governance, cybersecurity, ESG, and enterprise risk frameworks developed outside of this engagement.</w:t>
      </w:r>
    </w:p>
    <w:p>
      <w:pPr>
        <w:spacing w:after="120" w:before="240"/>
      </w:pPr>
      <w:r>
        <w:rPr>
          <w:rFonts w:ascii="Arial" w:cs="Arial" w:eastAsia="Arial" w:hAnsi="Arial"/>
          <w:b/>
          <w:bCs/>
          <w:color w:val="3E5C3C"/>
          <w:sz w:val="22"/>
          <w:szCs w:val="22"/>
        </w:rPr>
        <w:t xml:space="preserve">7.2  Engagement Deliverables</w:t>
      </w:r>
    </w:p>
    <w:p>
      <w:pPr>
        <w:spacing w:after="80" w:before="80"/>
      </w:pPr>
      <w:r>
        <w:rPr>
          <w:rFonts w:ascii="Arial" w:cs="Arial" w:eastAsia="Arial" w:hAnsi="Arial"/>
          <w:color w:val="2A332A"/>
          <w:sz w:val="20"/>
          <w:szCs w:val="20"/>
        </w:rPr>
        <w:t xml:space="preserve">Deliverables produced for Client under an SOW are licensed — not transferred — to Client for internal business use only. Periculum retains all underlying IP. Client may not resell, sublicense, or publish deliverables without prior written consent from Periculum.</w:t>
      </w:r>
    </w:p>
    <w:p>
      <w:pPr>
        <w:spacing w:after="120" w:before="240"/>
      </w:pPr>
      <w:r>
        <w:rPr>
          <w:rFonts w:ascii="Arial" w:cs="Arial" w:eastAsia="Arial" w:hAnsi="Arial"/>
          <w:b/>
          <w:bCs/>
          <w:color w:val="3E5C3C"/>
          <w:sz w:val="22"/>
          <w:szCs w:val="22"/>
        </w:rPr>
        <w:t xml:space="preserve">7.3  Prohibited Reuse</w:t>
      </w:r>
    </w:p>
    <w:p>
      <w:pPr>
        <w:spacing w:after="80" w:before="80"/>
      </w:pPr>
      <w:r>
        <w:rPr>
          <w:rFonts w:ascii="Arial" w:cs="Arial" w:eastAsia="Arial" w:hAnsi="Arial"/>
          <w:color w:val="2A332A"/>
          <w:sz w:val="20"/>
          <w:szCs w:val="20"/>
        </w:rPr>
        <w:t xml:space="preserve">Client shall not: (a) repackage Periculum deliverables, frameworks, or tools as a commercial product or service offered to third parties; (b) remove Periculum branding from deliverables; or (c) use Periculum methodologies to develop competing advisory services.</w:t>
      </w:r>
    </w:p>
    <w:p>
      <w:pPr>
        <w:pBdr>
          <w:bottom w:val="single" w:color="C2A96A" w:sz="4" w:space="4"/>
        </w:pBdr>
        <w:spacing w:after="160" w:before="320"/>
      </w:pPr>
      <w:r>
        <w:rPr>
          <w:rFonts w:ascii="Arial" w:cs="Arial" w:eastAsia="Arial" w:hAnsi="Arial"/>
          <w:b/>
          <w:bCs/>
          <w:color w:val="3E5C3C"/>
          <w:sz w:val="26"/>
          <w:szCs w:val="26"/>
        </w:rPr>
        <w:t xml:space="preserve">8.  Representations and Warranties</w:t>
      </w:r>
    </w:p>
    <w:p>
      <w:pPr>
        <w:spacing w:after="80" w:before="80"/>
      </w:pPr>
      <w:r>
        <w:rPr>
          <w:rFonts w:ascii="Arial" w:cs="Arial" w:eastAsia="Arial" w:hAnsi="Arial"/>
          <w:color w:val="2A332A"/>
          <w:sz w:val="20"/>
          <w:szCs w:val="20"/>
        </w:rPr>
        <w:t xml:space="preserve">Each Party represents it has authority to enter this Agreement. Periculum will perform services professionally and consistent with industry standards. ADVISORY SERVICES ARE NOT LEGAL, FINANCIAL, OR REGULATORY COMPLIANCE ADVICE. CLIENT RETAINS RESPONSIBILITY FOR ALL BUSINESS DECISIONS.</w:t>
      </w:r>
    </w:p>
    <w:p>
      <w:pPr>
        <w:pBdr>
          <w:bottom w:val="single" w:color="C2A96A" w:sz="4" w:space="4"/>
        </w:pBdr>
        <w:spacing w:after="160" w:before="320"/>
      </w:pPr>
      <w:r>
        <w:rPr>
          <w:rFonts w:ascii="Arial" w:cs="Arial" w:eastAsia="Arial" w:hAnsi="Arial"/>
          <w:b/>
          <w:bCs/>
          <w:color w:val="3E5C3C"/>
          <w:sz w:val="26"/>
          <w:szCs w:val="26"/>
        </w:rPr>
        <w:t xml:space="preserve">9.  Limitation of Liability</w:t>
      </w:r>
    </w:p>
    <w:p>
      <w:pPr>
        <w:spacing w:after="80" w:before="80"/>
      </w:pPr>
      <w:r>
        <w:rPr>
          <w:rFonts w:ascii="Arial" w:cs="Arial" w:eastAsia="Arial" w:hAnsi="Arial"/>
          <w:color w:val="2A332A"/>
          <w:sz w:val="20"/>
          <w:szCs w:val="20"/>
        </w:rPr>
        <w:t xml:space="preserve">TO THE MAXIMUM EXTENT PERMITTED BY LAW, NEITHER PARTY SHALL BE LIABLE FOR INDIRECT, CONSEQUENTIAL, SPECIAL, OR PUNITIVE DAMAGES. PERICULUM'S TOTAL LIABILITY SHALL NOT EXCEED THE TOTAL FEES PAID IN THE THREE (3) MONTHS PRECEDING THE CLAIM.</w:t>
      </w:r>
    </w:p>
    <w:p>
      <w:pPr>
        <w:pBdr>
          <w:bottom w:val="single" w:color="C2A96A" w:sz="4" w:space="4"/>
        </w:pBdr>
        <w:spacing w:after="160" w:before="320"/>
      </w:pPr>
      <w:r>
        <w:rPr>
          <w:rFonts w:ascii="Arial" w:cs="Arial" w:eastAsia="Arial" w:hAnsi="Arial"/>
          <w:b/>
          <w:bCs/>
          <w:color w:val="3E5C3C"/>
          <w:sz w:val="26"/>
          <w:szCs w:val="26"/>
        </w:rPr>
        <w:t xml:space="preserve">10.  Governing Law; Dispute Resolution</w:t>
      </w:r>
    </w:p>
    <w:p>
      <w:pPr>
        <w:spacing w:after="80" w:before="80"/>
      </w:pPr>
      <w:r>
        <w:rPr>
          <w:rFonts w:ascii="Arial" w:cs="Arial" w:eastAsia="Arial" w:hAnsi="Arial"/>
          <w:color w:val="2A332A"/>
          <w:sz w:val="20"/>
          <w:szCs w:val="20"/>
        </w:rPr>
        <w:t xml:space="preserve">Governed by the laws of Texas. Disputes submitted first to mediation in Dallas County. If unresolved in sixty (60) days, either Party may pursue legal remedies. Exclusive jurisdiction in Collin or Dallas County, Texas.</w:t>
      </w:r>
    </w:p>
    <w:p>
      <w:pPr>
        <w:pBdr>
          <w:bottom w:val="single" w:color="C2A96A" w:sz="4" w:space="4"/>
        </w:pBdr>
        <w:spacing w:after="160" w:before="320"/>
      </w:pPr>
      <w:r>
        <w:rPr>
          <w:rFonts w:ascii="Arial" w:cs="Arial" w:eastAsia="Arial" w:hAnsi="Arial"/>
          <w:b/>
          <w:bCs/>
          <w:color w:val="3E5C3C"/>
          <w:sz w:val="26"/>
          <w:szCs w:val="26"/>
        </w:rPr>
        <w:t xml:space="preserve">11.  General</w:t>
      </w:r>
    </w:p>
    <w:p>
      <w:pPr>
        <w:spacing w:after="80" w:before="80"/>
      </w:pPr>
      <w:r>
        <w:rPr>
          <w:rFonts w:ascii="Arial" w:cs="Arial" w:eastAsia="Arial" w:hAnsi="Arial"/>
          <w:color w:val="2A332A"/>
          <w:sz w:val="20"/>
          <w:szCs w:val="20"/>
        </w:rPr>
        <w:t xml:space="preserve">This Agreement and all executed SOWs and any NDA constitute the entire agreement on its subject matter. Amendments require written signatures of both Parties. Severability applies.</w:t>
      </w:r>
    </w:p>
    <w:p>
      <w:pPr>
        <w:spacing w:after="80" w:before="80"/>
      </w:pPr>
      <w:r>
        <w:t xml:space="preserve"/>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SIGNATURES</w:t>
      </w:r>
    </w:p>
    <w:p>
      <w:pPr>
        <w:spacing w:after="80" w:before="80"/>
      </w:pPr>
      <w:r>
        <w:rPr>
          <w:rFonts w:ascii="Arial" w:cs="Arial" w:eastAsia="Arial" w:hAnsi="Arial"/>
          <w:color w:val="2A332A"/>
          <w:sz w:val="20"/>
          <w:szCs w:val="20"/>
        </w:rPr>
        <w:t xml:space="preserve">By signing below, the Parties agree to the terms of this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60" w:before="0"/>
            </w:pPr>
            <w:r>
              <w:rPr>
                <w:rFonts w:ascii="Arial" w:cs="Arial" w:eastAsia="Arial" w:hAnsi="Arial"/>
                <w:b/>
                <w:bCs/>
                <w:color w:val="3E5C3C"/>
                <w:sz w:val="20"/>
                <w:szCs w:val="20"/>
              </w:rPr>
              <w:t xml:space="preserve">Periculum LLC</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Sai Santhanakrishnan</w:t>
            </w:r>
          </w:p>
          <w:p>
            <w:pPr>
              <w:spacing w:after="20" w:before="20"/>
            </w:pPr>
            <w:r>
              <w:rPr>
                <w:rFonts w:ascii="Arial" w:cs="Arial" w:eastAsia="Arial" w:hAnsi="Arial"/>
                <w:color w:val="2A332A"/>
                <w:sz w:val="18"/>
                <w:szCs w:val="18"/>
              </w:rPr>
              <w:t xml:space="preserve">Title: Founder &amp; Principal Advisor</w:t>
            </w:r>
          </w:p>
          <w:p>
            <w:pPr>
              <w:spacing w:after="20" w:before="20"/>
            </w:pPr>
            <w:r>
              <w:rPr>
                <w:rFonts w:ascii="Arial" w:cs="Arial" w:eastAsia="Arial" w:hAnsi="Arial"/>
                <w:color w:val="2A332A"/>
                <w:sz w:val="18"/>
                <w:szCs w:val="18"/>
              </w:rPr>
              <w:t xml:space="preserve">Date: _______________</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60" w:before="0"/>
            </w:pPr>
            <w:r>
              <w:rPr>
                <w:rFonts w:ascii="Arial" w:cs="Arial" w:eastAsia="Arial" w:hAnsi="Arial"/>
                <w:b/>
                <w:bCs/>
                <w:color w:val="3E5C3C"/>
                <w:sz w:val="20"/>
                <w:szCs w:val="20"/>
              </w:rPr>
              <w:t xml:space="preserve">[CLIENT NAME]</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___________________________</w:t>
            </w:r>
          </w:p>
          <w:p>
            <w:pPr>
              <w:spacing w:after="20" w:before="20"/>
            </w:pPr>
            <w:r>
              <w:rPr>
                <w:rFonts w:ascii="Arial" w:cs="Arial" w:eastAsia="Arial" w:hAnsi="Arial"/>
                <w:color w:val="2A332A"/>
                <w:sz w:val="18"/>
                <w:szCs w:val="18"/>
              </w:rPr>
              <w:t xml:space="preserve">Title: ____________________________</w:t>
            </w:r>
          </w:p>
          <w:p>
            <w:pPr>
              <w:spacing w:after="20" w:before="20"/>
            </w:pPr>
            <w:r>
              <w:rPr>
                <w:rFonts w:ascii="Arial" w:cs="Arial" w:eastAsia="Arial" w:hAnsi="Arial"/>
                <w:color w:val="2A332A"/>
                <w:sz w:val="18"/>
                <w:szCs w:val="18"/>
              </w:rPr>
              <w:t xml:space="preserve">Date: ____________________________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96A" w:sz="4" w:space="4"/>
      </w:pBdr>
      <w:spacing w:after="0" w:before="120"/>
      <w:jc w:val="center"/>
    </w:pPr>
    <w:r>
      <w:rPr>
        <w:rFonts w:ascii="Arial" w:cs="Arial" w:eastAsia="Arial" w:hAnsi="Arial"/>
        <w:color w:val="666666"/>
        <w:sz w:val="16"/>
        <w:szCs w:val="16"/>
      </w:rPr>
      <w:t xml:space="preserve">Periculum LLC  ·  Plano, Texas  ·  periculum.us  ·  connect@periculum.us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96A" w:sz="4" w:space="4"/>
      </w:pBdr>
      <w:spacing w:after="120" w:before="0"/>
    </w:pPr>
    <w:r>
      <w:rPr>
        <w:rFonts w:ascii="Arial" w:cs="Arial" w:eastAsia="Arial" w:hAnsi="Arial"/>
        <w:b/>
        <w:bCs/>
        <w:color w:val="3E5C3C"/>
        <w:sz w:val="18"/>
        <w:szCs w:val="18"/>
      </w:rPr>
      <w:t xml:space="preserve">PERICULUM LLC</w:t>
    </w:r>
    <w:r>
      <w:rPr>
        <w:rFonts w:ascii="Arial" w:cs="Arial" w:eastAsia="Arial" w:hAnsi="Arial"/>
        <w:color w:val="666666"/>
        <w:sz w:val="18"/>
        <w:szCs w:val="18"/>
      </w:rPr>
      <w:t xml:space="preserve">   ·   MASTER SERVICES &amp; RETAINER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2026-06-19T22:49:14.950Z</dcterms:created>
  <dcterms:modified xsi:type="dcterms:W3CDTF">2026-06-19T22:49:14.950Z</dcterms:modified>
</cp:coreProperties>
</file>

<file path=docProps/custom.xml><?xml version="1.0" encoding="utf-8"?>
<Properties xmlns="http://schemas.openxmlformats.org/officeDocument/2006/custom-properties" xmlns:vt="http://schemas.openxmlformats.org/officeDocument/2006/docPropsVTypes"/>
</file>