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C2A96A"/>
          <w:sz w:val="18"/>
        </w:rPr>
        <w:t>AGREEMENT  ·  MUTUAL NON-DISCLOSURE</w:t>
      </w:r>
    </w:p>
    <w:p>
      <w:r>
        <w:rPr>
          <w:rFonts w:ascii="Cambria" w:hAnsi="Cambria"/>
          <w:color w:val="3E5C3C"/>
          <w:sz w:val="52"/>
        </w:rPr>
        <w:t>Mutual Non-Disclosure Agreement</w:t>
      </w:r>
    </w:p>
    <w:p>
      <w:r>
        <w:rPr>
          <w:rFonts w:ascii="Cambria" w:hAnsi="Cambria"/>
          <w:i/>
          <w:color w:val="3E5C3C"/>
          <w:sz w:val="24"/>
        </w:rPr>
        <w:t>Governed by the laws of the State of Texas</w:t>
      </w:r>
    </w:p>
    <w:p>
      <w:r>
        <w:rPr>
          <w:rFonts w:ascii="Calibri" w:hAnsi="Calibri"/>
          <w:b/>
          <w:color w:val="A03A2B"/>
          <w:sz w:val="18"/>
        </w:rPr>
        <w:t>⚠ TEMPLATE - NOT LEGAL ADVICE</w:t>
      </w:r>
    </w:p>
    <w:p>
      <w:r>
        <w:rPr>
          <w:rFonts w:ascii="Calibri" w:hAnsi="Calibri"/>
          <w:i/>
          <w:color w:val="4A4F56"/>
          <w:sz w:val="18"/>
        </w:rPr>
        <w:t>This document is a template provided for convenience. It is not legal advice. Before signing this agreement with any counterparty for the first time — and certainly before relying on it in a material engagement — have it reviewed by a Texas-licensed attorney. A one-time attorney review of all three Periculum contract templates typically costs USD $500–1,500 and produces a polished, business-fit set you can use repeatedly thereafter. Material edits, unusual terms, or counterparty redlines should also be reviewed by counsel.</w:t>
      </w:r>
    </w:p>
    <w:p>
      <w:r>
        <w:rPr>
          <w:rFonts w:ascii="Calibri" w:hAnsi="Calibri"/>
          <w:color w:val="2A332A"/>
          <w:sz w:val="20"/>
        </w:rPr>
        <w:t>This Mutual Non-Disclosure Agreement (the "Agreement") is entered into as of [DATE] (the "Effective Date") between:</w:t>
      </w:r>
    </w:p>
    <w:p>
      <w:r>
        <w:rPr>
          <w:rFonts w:ascii="Calibri" w:hAnsi="Calibri"/>
          <w:color w:val="2A332A"/>
          <w:sz w:val="20"/>
        </w:rPr>
        <w:t>Periculum LLC, a Texas limited liability company with its principal place of business in Plano, Texas ("Periculum"); and</w:t>
      </w:r>
    </w:p>
    <w:p>
      <w:r>
        <w:rPr>
          <w:rFonts w:ascii="Calibri" w:hAnsi="Calibri"/>
          <w:color w:val="2A332A"/>
          <w:sz w:val="20"/>
        </w:rPr>
        <w:t>[COUNTERPARTY NAME], a [STATE] [ENTITY TYPE] with its principal place of business at [ADDRESS] (the "Counterparty").</w:t>
      </w:r>
    </w:p>
    <w:p>
      <w:r>
        <w:rPr>
          <w:rFonts w:ascii="Calibri" w:hAnsi="Calibri"/>
          <w:color w:val="2A332A"/>
          <w:sz w:val="20"/>
        </w:rPr>
        <w:t>Periculum and the Counterparty are each a "Party" and together the "Parties". The Parties wish to explore a potential business relationship and may exchange confidential information for that purpose. The Parties agree as follows.</w:t>
      </w:r>
    </w:p>
    <w:p>
      <w:r>
        <w:rPr>
          <w:rFonts w:ascii="Cambria" w:hAnsi="Cambria"/>
          <w:b/>
          <w:color w:val="3E5C3C"/>
          <w:sz w:val="26"/>
        </w:rPr>
        <w:t>1.  Confidential Information</w:t>
      </w:r>
    </w:p>
    <w:p>
      <w:r>
        <w:rPr>
          <w:rFonts w:ascii="Calibri" w:hAnsi="Calibri"/>
          <w:color w:val="2A332A"/>
          <w:sz w:val="20"/>
        </w:rPr>
        <w:t>"Confidential Information" means any non-public information disclosed by one Party (the "Disclosing Party") to the other (the "Receiving Party"), in any form, that is identified as confidential or that a reasonable person would understand to be confidential under the circumstances. Confidential Information includes business plans, financial information, client and prospect identities, technical information, methodologies (including the Periculum 6A Compass and related frameworks), product roadmaps, source code, and any information derived from the foregoing.</w:t>
      </w:r>
    </w:p>
    <w:p>
      <w:r>
        <w:rPr>
          <w:rFonts w:ascii="Cambria" w:hAnsi="Cambria"/>
          <w:b/>
          <w:color w:val="3E5C3C"/>
          <w:sz w:val="26"/>
        </w:rPr>
        <w:t>2.  Exclusions</w:t>
      </w:r>
    </w:p>
    <w:p>
      <w:r>
        <w:rPr>
          <w:rFonts w:ascii="Calibri" w:hAnsi="Calibri"/>
          <w:color w:val="2A332A"/>
          <w:sz w:val="20"/>
        </w:rPr>
        <w:t>Confidential Information does not include information that:</w:t>
      </w:r>
    </w:p>
    <w:p>
      <w:pPr>
        <w:pStyle w:val="ListBullet"/>
      </w:pPr>
      <w:r>
        <w:rPr>
          <w:rFonts w:ascii="Calibri" w:hAnsi="Calibri"/>
          <w:color w:val="2A332A"/>
          <w:sz w:val="20"/>
        </w:rPr>
        <w:t>is or becomes publicly known through no fault of the Receiving Party;</w:t>
      </w:r>
    </w:p>
    <w:p>
      <w:pPr>
        <w:pStyle w:val="ListBullet"/>
      </w:pPr>
      <w:r>
        <w:rPr>
          <w:rFonts w:ascii="Calibri" w:hAnsi="Calibri"/>
          <w:color w:val="2A332A"/>
          <w:sz w:val="20"/>
        </w:rPr>
        <w:t>was rightfully in the Receiving Party's possession before disclosure, without confidentiality obligations;</w:t>
      </w:r>
    </w:p>
    <w:p>
      <w:pPr>
        <w:pStyle w:val="ListBullet"/>
      </w:pPr>
      <w:r>
        <w:rPr>
          <w:rFonts w:ascii="Calibri" w:hAnsi="Calibri"/>
          <w:color w:val="2A332A"/>
          <w:sz w:val="20"/>
        </w:rPr>
        <w:t>is independently developed by the Receiving Party without use of or reference to the Disclosing Party's Confidential Information; or</w:t>
      </w:r>
    </w:p>
    <w:p>
      <w:pPr>
        <w:pStyle w:val="ListBullet"/>
      </w:pPr>
      <w:r>
        <w:rPr>
          <w:rFonts w:ascii="Calibri" w:hAnsi="Calibri"/>
          <w:color w:val="2A332A"/>
          <w:sz w:val="20"/>
        </w:rPr>
        <w:t>is rightfully received from a third party without confidentiality obligations.</w:t>
      </w:r>
    </w:p>
    <w:p>
      <w:r>
        <w:rPr>
          <w:rFonts w:ascii="Cambria" w:hAnsi="Cambria"/>
          <w:b/>
          <w:color w:val="3E5C3C"/>
          <w:sz w:val="26"/>
        </w:rPr>
        <w:t>3.  Obligations</w:t>
      </w:r>
    </w:p>
    <w:p>
      <w:r>
        <w:rPr>
          <w:rFonts w:ascii="Calibri" w:hAnsi="Calibri"/>
          <w:color w:val="2A332A"/>
          <w:sz w:val="20"/>
        </w:rPr>
        <w:t>The Receiving Party shall (a) protect Confidential Information using at least the same degree of care it uses to protect its own confidential information of like importance, and in no event less than reasonable care; (b) not disclose Confidential Information to any third party except to its employees, independent contractors, and professional advisors who have a need to know and who are bound by confidentiality obligations at least as protective as those in this Agreement; and (c) use Confidential Information only for the Purpose described in Section 4.</w:t>
      </w:r>
    </w:p>
    <w:p>
      <w:r>
        <w:rPr>
          <w:rFonts w:ascii="Cambria" w:hAnsi="Cambria"/>
          <w:b/>
          <w:color w:val="3E5C3C"/>
          <w:sz w:val="26"/>
        </w:rPr>
        <w:t>4.  Purpose</w:t>
      </w:r>
    </w:p>
    <w:p>
      <w:r>
        <w:rPr>
          <w:rFonts w:ascii="Calibri" w:hAnsi="Calibri"/>
          <w:color w:val="2A332A"/>
          <w:sz w:val="20"/>
        </w:rPr>
        <w:t>"Purpose" means: evaluation of, and engagement in, a potential business relationship between the Parties — including without limitation pre-engagement scoping conversations, proposal development, due diligence, and any preliminary advisory discussions in advance of a separately signed engagement agreement.</w:t>
      </w:r>
    </w:p>
    <w:p>
      <w:r>
        <w:rPr>
          <w:rFonts w:ascii="Cambria" w:hAnsi="Cambria"/>
          <w:b/>
          <w:color w:val="3E5C3C"/>
          <w:sz w:val="26"/>
        </w:rPr>
        <w:t>5.  Permitted Disclosures</w:t>
      </w:r>
    </w:p>
    <w:p>
      <w:r>
        <w:rPr>
          <w:rFonts w:ascii="Calibri" w:hAnsi="Calibri"/>
          <w:color w:val="2A332A"/>
          <w:sz w:val="20"/>
        </w:rPr>
        <w:t>The Receiving Party may disclose Confidential Information if required by law, regulation, court order, or governmental authority; provided that the Receiving Party (a) promptly notifies the Disclosing Party of such requirement, where legally permitted, so that the Disclosing Party may seek a protective order; and (b) discloses only the minimum portion of Confidential Information legally required.</w:t>
      </w:r>
    </w:p>
    <w:p>
      <w:r>
        <w:rPr>
          <w:rFonts w:ascii="Cambria" w:hAnsi="Cambria"/>
          <w:b/>
          <w:color w:val="3E5C3C"/>
          <w:sz w:val="26"/>
        </w:rPr>
        <w:t>6.  Term and Survival</w:t>
      </w:r>
    </w:p>
    <w:p>
      <w:r>
        <w:rPr>
          <w:rFonts w:ascii="Calibri" w:hAnsi="Calibri"/>
          <w:color w:val="2A332A"/>
          <w:sz w:val="20"/>
        </w:rPr>
        <w:t>This Agreement begins on the Effective Date and continues for two (2) years thereafter, unless extended by the Parties in writing. Confidentiality obligations with respect to any Confidential Information disclosed during the term shall survive termination for three (3) years from the date of disclosure, or in the case of trade secrets, for as long as the information qualifies as a trade secret under the Texas Uniform Trade Secrets Act (Tex. Civ. Prac. &amp; Rem. Code, Ch. 134A) or applicable federal law.</w:t>
      </w:r>
    </w:p>
    <w:p>
      <w:r>
        <w:rPr>
          <w:rFonts w:ascii="Cambria" w:hAnsi="Cambria"/>
          <w:b/>
          <w:color w:val="3E5C3C"/>
          <w:sz w:val="26"/>
        </w:rPr>
        <w:t>7.  Return or Destruction</w:t>
      </w:r>
    </w:p>
    <w:p>
      <w:r>
        <w:rPr>
          <w:rFonts w:ascii="Calibri" w:hAnsi="Calibri"/>
          <w:color w:val="2A332A"/>
          <w:sz w:val="20"/>
        </w:rPr>
        <w:t>Upon written request of the Disclosing Party, or upon termination of this Agreement, the Receiving Party shall promptly return or destroy all Confidential Information in its possession, except for one archival copy that may be retained for legal-compliance purposes and any copies stored within standard backup or email systems that are not readily accessible for active use.</w:t>
      </w:r>
    </w:p>
    <w:p>
      <w:r>
        <w:rPr>
          <w:rFonts w:ascii="Cambria" w:hAnsi="Cambria"/>
          <w:b/>
          <w:color w:val="3E5C3C"/>
          <w:sz w:val="26"/>
        </w:rPr>
        <w:t>8.  No License</w:t>
      </w:r>
    </w:p>
    <w:p>
      <w:r>
        <w:rPr>
          <w:rFonts w:ascii="Calibri" w:hAnsi="Calibri"/>
          <w:color w:val="2A332A"/>
          <w:sz w:val="20"/>
        </w:rPr>
        <w:t>Nothing in this Agreement grants any license, ownership, or other rights in Confidential Information except the limited rights expressly granted. The Parties' respective intellectual property remains the property of its owner.</w:t>
      </w:r>
    </w:p>
    <w:p>
      <w:r>
        <w:rPr>
          <w:rFonts w:ascii="Cambria" w:hAnsi="Cambria"/>
          <w:b/>
          <w:color w:val="3E5C3C"/>
          <w:sz w:val="26"/>
        </w:rPr>
        <w:t>9.  No Engagement</w:t>
      </w:r>
    </w:p>
    <w:p>
      <w:r>
        <w:rPr>
          <w:rFonts w:ascii="Calibri" w:hAnsi="Calibri"/>
          <w:color w:val="2A332A"/>
          <w:sz w:val="20"/>
        </w:rPr>
        <w:t>This Agreement does not create an advisor-client relationship, a partnership, a joint venture, or any obligation to enter into a subsequent business relationship. Any such relationship will require a separate written agreement.</w:t>
      </w:r>
    </w:p>
    <w:p>
      <w:r>
        <w:rPr>
          <w:rFonts w:ascii="Cambria" w:hAnsi="Cambria"/>
          <w:b/>
          <w:color w:val="3E5C3C"/>
          <w:sz w:val="26"/>
        </w:rPr>
        <w:t>10.  Equitable Remedies</w:t>
      </w:r>
    </w:p>
    <w:p>
      <w:r>
        <w:rPr>
          <w:rFonts w:ascii="Calibri" w:hAnsi="Calibri"/>
          <w:color w:val="2A332A"/>
          <w:sz w:val="20"/>
        </w:rPr>
        <w:t>The Parties acknowledge that a breach of this Agreement may cause irreparable harm for which monetary damages are inadequate. The non-breaching Party is entitled, without prejudice to any other remedy, to seek injunctive or other equitable relief.</w:t>
      </w:r>
    </w:p>
    <w:p>
      <w:r>
        <w:rPr>
          <w:rFonts w:ascii="Cambria" w:hAnsi="Cambria"/>
          <w:b/>
          <w:color w:val="3E5C3C"/>
          <w:sz w:val="26"/>
        </w:rPr>
        <w:t>11.  Governing Law; Forum</w:t>
      </w:r>
    </w:p>
    <w:p>
      <w:r>
        <w:rPr>
          <w:rFonts w:ascii="Calibri" w:hAnsi="Calibri"/>
          <w:color w:val="2A332A"/>
          <w:sz w:val="20"/>
        </w:rPr>
        <w:t>This Agreement is governed by the laws of the State of Texas, without regard to its conflict-of-laws principles. Any dispute arising under or in connection with this Agreement shall be brought exclusively in the state or federal courts located in Collin County, Texas, and each Party irrevocably submits to that jurisdiction.</w:t>
      </w:r>
    </w:p>
    <w:p>
      <w:r>
        <w:rPr>
          <w:rFonts w:ascii="Cambria" w:hAnsi="Cambria"/>
          <w:b/>
          <w:color w:val="3E5C3C"/>
          <w:sz w:val="26"/>
        </w:rPr>
        <w:t>12.  Miscellaneous</w:t>
      </w:r>
    </w:p>
    <w:p>
      <w:r>
        <w:rPr>
          <w:rFonts w:ascii="Calibri" w:hAnsi="Calibri"/>
          <w:color w:val="2A332A"/>
          <w:sz w:val="20"/>
        </w:rPr>
        <w:t>This Agreement constitutes the entire agreement between the Parties regarding its subject matter and supersedes any prior agreements. No amendment is effective unless in writing and signed by both Parties. If any provision is held unenforceable, the remaining provisions remain in effect. Neither Party may assign this Agreement without the other Party's prior written consent, except in connection with a merger, acquisition, or sale of substantially all assets.</w:t>
      </w:r>
    </w:p>
    <w:p/>
    <w:p>
      <w:r>
        <w:rPr>
          <w:rFonts w:ascii="Calibri" w:hAnsi="Calibri"/>
          <w:b/>
          <w:color w:val="C2A96A"/>
          <w:sz w:val="20"/>
        </w:rPr>
        <w:t>SIGNATURES</w:t>
      </w:r>
    </w:p>
    <w:tbl>
      <w:tblPr>
        <w:tblW w:type="auto" w:w="0"/>
        <w:tblLayout w:type="fixed"/>
        <w:tblLook w:firstColumn="1" w:firstRow="1" w:lastColumn="0" w:lastRow="0" w:noHBand="0" w:noVBand="1" w:val="04A0"/>
      </w:tblPr>
      <w:tblGrid>
        <w:gridCol w:w="4320"/>
        <w:gridCol w:w="4320"/>
      </w:tblGrid>
      <w:tr>
        <w:tc>
          <w:tcPr>
            <w:tcW w:type="dxa" w:w="4680"/>
          </w:tcPr>
          <w:p>
            <w:r>
              <w:rPr>
                <w:rFonts w:ascii="Calibri" w:hAnsi="Calibri"/>
                <w:b/>
                <w:color w:val="C2A96A"/>
                <w:sz w:val="18"/>
              </w:rPr>
              <w:t>PERICULUM LLC</w:t>
            </w:r>
          </w:p>
        </w:tc>
        <w:tc>
          <w:tcPr>
            <w:tcW w:type="dxa" w:w="4680"/>
          </w:tcPr>
          <w:p>
            <w:r>
              <w:rPr>
                <w:rFonts w:ascii="Calibri" w:hAnsi="Calibri"/>
                <w:b/>
                <w:color w:val="C2A96A"/>
                <w:sz w:val="18"/>
              </w:rPr>
              <w:t>COUNTERPARTY</w:t>
            </w:r>
          </w:p>
        </w:tc>
      </w:tr>
      <w:tr>
        <w:tc>
          <w:tcPr>
            <w:tcW w:type="dxa" w:w="4680"/>
          </w:tcPr>
          <w:p>
            <w:r>
              <w:rPr>
                <w:rFonts w:ascii="Calibri" w:hAnsi="Calibri"/>
                <w:color w:val="2A332A"/>
                <w:sz w:val="20"/>
              </w:rPr>
              <w:t>Signature:</w:t>
            </w:r>
          </w:p>
        </w:tc>
        <w:tc>
          <w:tcPr>
            <w:tcW w:type="dxa" w:w="4680"/>
          </w:tcPr>
          <w:p>
            <w:r>
              <w:rPr>
                <w:rFonts w:ascii="Calibri" w:hAnsi="Calibri"/>
                <w:color w:val="2A332A"/>
                <w:sz w:val="20"/>
              </w:rPr>
              <w:t>Signature:</w:t>
            </w:r>
          </w:p>
        </w:tc>
      </w:tr>
      <w:tr>
        <w:tc>
          <w:tcPr>
            <w:tcW w:type="dxa" w:w="4680"/>
          </w:tcPr>
          <w:p>
            <w:r>
              <w:rPr>
                <w:rFonts w:ascii="Calibri" w:hAnsi="Calibri"/>
                <w:color w:val="2A332A"/>
                <w:sz w:val="20"/>
              </w:rPr>
              <w:t>Name: Sailakshmi (Sai) Santhanakrishnan</w:t>
            </w:r>
          </w:p>
        </w:tc>
        <w:tc>
          <w:tcPr>
            <w:tcW w:type="dxa" w:w="4680"/>
          </w:tcPr>
          <w:p>
            <w:r>
              <w:rPr>
                <w:rFonts w:ascii="Calibri" w:hAnsi="Calibri"/>
                <w:color w:val="2A332A"/>
                <w:sz w:val="20"/>
              </w:rPr>
              <w:t>Name: [Counterparty signatory]</w:t>
            </w:r>
          </w:p>
        </w:tc>
      </w:tr>
      <w:tr>
        <w:tc>
          <w:tcPr>
            <w:tcW w:type="dxa" w:w="4680"/>
          </w:tcPr>
          <w:p>
            <w:r>
              <w:rPr>
                <w:rFonts w:ascii="Calibri" w:hAnsi="Calibri"/>
                <w:color w:val="2A332A"/>
                <w:sz w:val="20"/>
              </w:rPr>
              <w:t>Title: Founder &amp; Principal Advisor</w:t>
            </w:r>
          </w:p>
        </w:tc>
        <w:tc>
          <w:tcPr>
            <w:tcW w:type="dxa" w:w="4680"/>
          </w:tcPr>
          <w:p>
            <w:r>
              <w:rPr>
                <w:rFonts w:ascii="Calibri" w:hAnsi="Calibri"/>
                <w:color w:val="2A332A"/>
                <w:sz w:val="20"/>
              </w:rPr>
              <w:t>Title: [Title]</w:t>
            </w:r>
          </w:p>
        </w:tc>
      </w:tr>
      <w:tr>
        <w:tc>
          <w:tcPr>
            <w:tcW w:type="dxa" w:w="4680"/>
          </w:tcPr>
          <w:p>
            <w:r>
              <w:rPr>
                <w:rFonts w:ascii="Calibri" w:hAnsi="Calibri"/>
                <w:color w:val="2A332A"/>
                <w:sz w:val="20"/>
              </w:rPr>
              <w:t>Date:</w:t>
            </w:r>
          </w:p>
        </w:tc>
        <w:tc>
          <w:tcPr>
            <w:tcW w:type="dxa" w:w="4680"/>
          </w:tcPr>
          <w:p>
            <w:r>
              <w:rPr>
                <w:rFonts w:ascii="Calibri" w:hAnsi="Calibri"/>
                <w:color w:val="2A332A"/>
                <w:sz w:val="20"/>
              </w:rPr>
              <w:t>Date:</w:t>
            </w:r>
          </w:p>
        </w:tc>
      </w:tr>
    </w:tbl>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600"/>
      <w:gridCol w:w="2160"/>
      <w:gridCol w:w="3600"/>
    </w:tblGrid>
    <w:tr>
      <w:tc>
        <w:tcPr>
          <w:tcW w:type="dxa" w:w="3120"/>
        </w:tcPr>
        <w:p>
          <w:r>
            <w:rPr>
              <w:rFonts w:ascii="Calibri" w:hAnsi="Calibri"/>
              <w:b/>
              <w:color w:val="4A4F56"/>
              <w:sz w:val="14"/>
            </w:rPr>
            <w:t>Periculum LLC  ·  Founded 2016  ·  Plano, Texas</w:t>
          </w:r>
        </w:p>
      </w:tc>
      <w:tc>
        <w:tcPr>
          <w:tcW w:type="dxa" w:w="3120"/>
        </w:tcPr>
        <w:p>
          <w:pPr>
            <w:jc w:val="center"/>
          </w:pPr>
          <w:r>
            <w:rPr>
              <w:rFonts w:ascii="Calibri" w:hAnsi="Calibri"/>
              <w:b/>
              <w:color w:val="C2A96A"/>
              <w:sz w:val="16"/>
            </w:rPr>
            <w:t>CONFIDENTIAL</w:t>
          </w:r>
        </w:p>
      </w:tc>
      <w:tc>
        <w:tcPr>
          <w:tcW w:type="dxa" w:w="3120"/>
        </w:tcPr>
        <w:p>
          <w:pPr>
            <w:jc w:val="right"/>
          </w:pPr>
          <w:r>
            <w:rPr>
              <w:rFonts w:ascii="Calibri" w:hAnsi="Calibri"/>
              <w:b/>
              <w:color w:val="4A4F56"/>
              <w:sz w:val="14"/>
            </w:rPr>
            <w:t>Mutual NDA  ·  periculum.us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040"/>
      <w:gridCol w:w="4320"/>
    </w:tblGrid>
    <w:tr>
      <w:tc>
        <w:tcPr>
          <w:tcW w:type="dxa" w:w="4680"/>
        </w:tcPr>
        <w:p>
          <w:r>
            <w:drawing>
              <wp:inline xmlns:a="http://schemas.openxmlformats.org/drawingml/2006/main" xmlns:pic="http://schemas.openxmlformats.org/drawingml/2006/picture">
                <wp:extent cx="1828800" cy="411480"/>
                <wp:docPr id="1" name="Picture 1"/>
                <wp:cNvGraphicFramePr>
                  <a:graphicFrameLocks noChangeAspect="1"/>
                </wp:cNvGraphicFramePr>
                <a:graphic>
                  <a:graphicData uri="http://schemas.openxmlformats.org/drawingml/2006/picture">
                    <pic:pic>
                      <pic:nvPicPr>
                        <pic:cNvPr id="0" name="03_Horizontal_Compact_Light.png"/>
                        <pic:cNvPicPr/>
                      </pic:nvPicPr>
                      <pic:blipFill>
                        <a:blip r:embed="rId1"/>
                        <a:stretch>
                          <a:fillRect/>
                        </a:stretch>
                      </pic:blipFill>
                      <pic:spPr>
                        <a:xfrm>
                          <a:off x="0" y="0"/>
                          <a:ext cx="1828800" cy="411480"/>
                        </a:xfrm>
                        <a:prstGeom prst="rect"/>
                      </pic:spPr>
                    </pic:pic>
                  </a:graphicData>
                </a:graphic>
              </wp:inline>
            </w:drawing>
          </w:r>
        </w:p>
      </w:tc>
      <w:tc>
        <w:tcPr>
          <w:tcW w:type="dxa" w:w="4680"/>
        </w:tcPr>
        <w:p>
          <w:pPr>
            <w:jc w:val="right"/>
          </w:pPr>
          <w:r>
            <w:rPr>
              <w:rFonts w:ascii="Calibri" w:hAnsi="Calibri"/>
              <w:b/>
              <w:color w:val="2A332A"/>
              <w:sz w:val="18"/>
            </w:rPr>
            <w:t>Periculum LLC</w:t>
          </w:r>
          <w:r>
            <w:rPr>
              <w:rFonts w:ascii="Calibri" w:hAnsi="Calibri"/>
              <w:color w:val="4A4F56"/>
              <w:sz w:val="16"/>
            </w:rPr>
            <w:br/>
            <w:t>Plano, Texas  ·  connect@periculum.us</w:t>
          </w:r>
        </w:p>
      </w:tc>
    </w:tr>
  </w:tbl>
  <w:p>
    <w:r>
      <w:rPr>
        <w:rFonts w:ascii="Calibri" w:hAnsi="Calibri"/>
        <w:color w:val="C2A96A"/>
        <w:sz w:val="12"/>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