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3E5C3C"/>
          <w:sz w:val="32"/>
          <w:szCs w:val="32"/>
        </w:rPr>
        <w:t xml:space="preserve">MUTUAL NON-DISCLOSURE AGREEMENT</w:t>
      </w:r>
    </w:p>
    <w:p>
      <w:pPr>
        <w:spacing w:after="60" w:before="0"/>
        <w:jc w:val="center"/>
      </w:pPr>
      <w:r>
        <w:rPr>
          <w:rFonts w:ascii="Arial" w:cs="Arial" w:eastAsia="Arial" w:hAnsi="Arial"/>
          <w:color w:val="666666"/>
          <w:sz w:val="20"/>
          <w:szCs w:val="20"/>
        </w:rPr>
        <w:t xml:space="preserve">Periculum LLC  ·  Governed by the Laws of the State of Texas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7" w:val="clear"/>
            <w:tcMar>
              <w:top w:type="dxa" w:w="120"/>
              <w:left w:type="dxa" w:w="180"/>
              <w:bottom w:type="dxa" w:w="120"/>
              <w:right w:type="dxa" w:w="180"/>
            </w:tcMar>
          </w:tcPr>
          <w:p>
            <w:pPr>
              <w:spacing w:after="40" w:before="40"/>
            </w:pPr>
            <w:r>
              <w:rPr>
                <w:rFonts w:ascii="Arial" w:cs="Arial" w:eastAsia="Arial" w:hAnsi="Arial"/>
                <w:i w:val="false"/>
                <w:iCs w:val="false"/>
                <w:color w:val="7A5C00"/>
                <w:sz w:val="18"/>
                <w:szCs w:val="18"/>
              </w:rPr>
              <w:t xml:space="preserve">⚠  TEMPLATE — NOT LEGAL ADVICE</w:t>
            </w:r>
          </w:p>
          <w:p>
            <w:pPr>
              <w:spacing w:after="40" w:before="40"/>
            </w:pPr>
            <w:r>
              <w:rPr>
                <w:rFonts w:ascii="Arial" w:cs="Arial" w:eastAsia="Arial" w:hAnsi="Arial"/>
                <w:i/>
                <w:iCs/>
                <w:color w:val="7A5C00"/>
                <w:sz w:val="18"/>
                <w:szCs w:val="18"/>
              </w:rPr>
              <w:t xml:space="preserve">This document is a template provided for convenience. It is not legal advice. Have it reviewed by a Texas-licensed attorney before signing with any counterparty for the first time. A one-time attorney review of the Periculum contract suite typically costs USD $500–1,500.</w:t>
            </w:r>
          </w:p>
        </w:tc>
      </w:tr>
    </w:tbl>
    <w:p>
      <w:pPr>
        <w:spacing w:after="80" w:before="80"/>
      </w:pPr>
      <w:r>
        <w:t xml:space="preserve"/>
      </w:r>
    </w:p>
    <w:p>
      <w:pPr>
        <w:spacing w:after="80" w:before="80"/>
      </w:pPr>
      <w:r>
        <w:rPr>
          <w:rFonts w:ascii="Arial" w:cs="Arial" w:eastAsia="Arial" w:hAnsi="Arial"/>
          <w:color w:val="2A332A"/>
          <w:sz w:val="20"/>
          <w:szCs w:val="20"/>
        </w:rPr>
        <w:t xml:space="preserve">This Mutual Non-Disclosure Agreement (the “Agreement”) is entered into as of _______________ (the “Effective Date”) between:</w:t>
      </w:r>
    </w:p>
    <w:p>
      <w:pPr>
        <w:spacing w:after="80" w:before="80"/>
      </w:pPr>
      <w:r>
        <w:t xml:space="preserve"/>
      </w:r>
    </w:p>
    <w:p>
      <w:pPr>
        <w:spacing w:after="80" w:before="80"/>
      </w:pPr>
      <w:r>
        <w:rPr>
          <w:rFonts w:ascii="Arial" w:cs="Arial" w:eastAsia="Arial" w:hAnsi="Arial"/>
          <w:b/>
          <w:bCs/>
          <w:color w:val="2A332A"/>
          <w:sz w:val="20"/>
          <w:szCs w:val="20"/>
        </w:rPr>
        <w:t xml:space="preserve">Periculum LLC, a Texas limited liability company with its principal place of business in Plano, Texas (“Periculum”); and</w:t>
      </w:r>
    </w:p>
    <w:p>
      <w:pPr>
        <w:spacing w:after="80" w:before="80"/>
      </w:pPr>
      <w:r>
        <w:t xml:space="preserve"/>
      </w:r>
    </w:p>
    <w:p>
      <w:pPr>
        <w:spacing w:after="80" w:before="80"/>
      </w:pPr>
      <w:r>
        <w:rPr>
          <w:rFonts w:ascii="Arial" w:cs="Arial" w:eastAsia="Arial" w:hAnsi="Arial"/>
          <w:b/>
          <w:bCs/>
          <w:color w:val="2A332A"/>
          <w:sz w:val="20"/>
          <w:szCs w:val="20"/>
        </w:rPr>
        <w:t xml:space="preserve">[COUNTERPARTY NAME], a [STATE] [ENTITY TYPE] with its principal place of business at [ADDRESS] (the “Counterparty”).</w:t>
      </w:r>
    </w:p>
    <w:p>
      <w:pPr>
        <w:spacing w:after="80" w:before="80"/>
      </w:pPr>
      <w:r>
        <w:t xml:space="preserve"/>
      </w:r>
    </w:p>
    <w:p>
      <w:pPr>
        <w:spacing w:after="80" w:before="80"/>
      </w:pPr>
      <w:r>
        <w:rPr>
          <w:rFonts w:ascii="Arial" w:cs="Arial" w:eastAsia="Arial" w:hAnsi="Arial"/>
          <w:color w:val="2A332A"/>
          <w:sz w:val="20"/>
          <w:szCs w:val="20"/>
        </w:rPr>
        <w:t xml:space="preserve">Periculum and the Counterparty are each a “Party” and together the “Parties.” The Parties wish to explore a potential business relationship and may exchange confidential information for that purpose.</w:t>
      </w:r>
    </w:p>
    <w:p>
      <w:pPr>
        <w:spacing w:after="80" w:before="80"/>
      </w:pPr>
      <w:r>
        <w:t xml:space="preserve"/>
      </w:r>
    </w:p>
    <w:p>
      <w:pPr>
        <w:pBdr>
          <w:bottom w:val="single" w:color="C2A96A" w:sz="4" w:space="4"/>
        </w:pBdr>
        <w:spacing w:after="160" w:before="320"/>
      </w:pPr>
      <w:r>
        <w:rPr>
          <w:rFonts w:ascii="Arial" w:cs="Arial" w:eastAsia="Arial" w:hAnsi="Arial"/>
          <w:b/>
          <w:bCs/>
          <w:color w:val="3E5C3C"/>
          <w:sz w:val="26"/>
          <w:szCs w:val="26"/>
        </w:rPr>
        <w:t xml:space="preserve">1.  Confidential Information</w:t>
      </w:r>
    </w:p>
    <w:p>
      <w:pPr>
        <w:spacing w:after="80" w:before="80"/>
      </w:pPr>
      <w:r>
        <w:rPr>
          <w:rFonts w:ascii="Arial" w:cs="Arial" w:eastAsia="Arial" w:hAnsi="Arial"/>
          <w:color w:val="2A332A"/>
          <w:sz w:val="20"/>
          <w:szCs w:val="20"/>
        </w:rPr>
        <w:t xml:space="preserve">“Confidential Information” means any non-public information disclosed by one Party (the “Disclosing Party”) to the other (the “Receiving Party”), in any form, that is identified as confidential or that a reasonable person would understand to be confidential under the circumstances. Confidential Information includes:</w:t>
      </w:r>
    </w:p>
    <w:p>
      <w:pPr>
        <w:pStyle w:val="ListParagraph"/>
        <w:numPr>
          <w:ilvl w:val="0"/>
          <w:numId w:val="2"/>
        </w:numPr>
        <w:spacing w:after="60" w:before="60"/>
      </w:pPr>
      <w:r>
        <w:rPr>
          <w:rFonts w:ascii="Arial" w:cs="Arial" w:eastAsia="Arial" w:hAnsi="Arial"/>
          <w:color w:val="2A332A"/>
          <w:sz w:val="20"/>
          <w:szCs w:val="20"/>
        </w:rPr>
        <w:t xml:space="preserve">Business plans, financial information, pricing, and client and prospect identities;</w:t>
      </w:r>
    </w:p>
    <w:p>
      <w:pPr>
        <w:pStyle w:val="ListParagraph"/>
        <w:numPr>
          <w:ilvl w:val="0"/>
          <w:numId w:val="2"/>
        </w:numPr>
        <w:spacing w:after="60" w:before="60"/>
      </w:pPr>
      <w:r>
        <w:rPr>
          <w:rFonts w:ascii="Arial" w:cs="Arial" w:eastAsia="Arial" w:hAnsi="Arial"/>
          <w:color w:val="2A332A"/>
          <w:sz w:val="20"/>
          <w:szCs w:val="20"/>
        </w:rPr>
        <w:t xml:space="preserve">Technical information, source code, product roadmaps, and system architectures;</w:t>
      </w:r>
    </w:p>
    <w:p>
      <w:pPr>
        <w:pStyle w:val="ListParagraph"/>
        <w:numPr>
          <w:ilvl w:val="0"/>
          <w:numId w:val="2"/>
        </w:numPr>
        <w:spacing w:after="60" w:before="60"/>
      </w:pPr>
      <w:r>
        <w:rPr>
          <w:rFonts w:ascii="Arial" w:cs="Arial" w:eastAsia="Arial" w:hAnsi="Arial"/>
          <w:color w:val="2A332A"/>
          <w:sz w:val="20"/>
          <w:szCs w:val="20"/>
        </w:rPr>
        <w:t xml:space="preserve">Methodologies, frameworks, and proprietary tools — including, on Periculum’s side, the 6A Compass (Align, Assess, Architect, Activate, Assure, Adapt) and all related assessment tools, scoring models, templates, and derivatives;</w:t>
      </w:r>
    </w:p>
    <w:p>
      <w:pPr>
        <w:pStyle w:val="ListParagraph"/>
        <w:numPr>
          <w:ilvl w:val="0"/>
          <w:numId w:val="2"/>
        </w:numPr>
        <w:spacing w:after="60" w:before="60"/>
      </w:pPr>
      <w:r>
        <w:rPr>
          <w:rFonts w:ascii="Arial" w:cs="Arial" w:eastAsia="Arial" w:hAnsi="Arial"/>
          <w:color w:val="2A332A"/>
          <w:sz w:val="20"/>
          <w:szCs w:val="20"/>
        </w:rPr>
        <w:t xml:space="preserve">AI governance strategies, risk registers, control inventories, audit materials, and board briefings exchanged under this Agreement;</w:t>
      </w:r>
    </w:p>
    <w:p>
      <w:pPr>
        <w:pStyle w:val="ListParagraph"/>
        <w:numPr>
          <w:ilvl w:val="0"/>
          <w:numId w:val="2"/>
        </w:numPr>
        <w:spacing w:after="60" w:before="60"/>
      </w:pPr>
      <w:r>
        <w:rPr>
          <w:rFonts w:ascii="Arial" w:cs="Arial" w:eastAsia="Arial" w:hAnsi="Arial"/>
          <w:color w:val="2A332A"/>
          <w:sz w:val="20"/>
          <w:szCs w:val="20"/>
        </w:rPr>
        <w:t xml:space="preserve">Any information derived from the foregoing.</w:t>
      </w:r>
    </w:p>
    <w:p>
      <w:pPr>
        <w:pBdr>
          <w:bottom w:val="single" w:color="C2A96A" w:sz="4" w:space="4"/>
        </w:pBdr>
        <w:spacing w:after="160" w:before="320"/>
      </w:pPr>
      <w:r>
        <w:rPr>
          <w:rFonts w:ascii="Arial" w:cs="Arial" w:eastAsia="Arial" w:hAnsi="Arial"/>
          <w:b/>
          <w:bCs/>
          <w:color w:val="3E5C3C"/>
          <w:sz w:val="26"/>
          <w:szCs w:val="26"/>
        </w:rPr>
        <w:t xml:space="preserve">2.  Pre-Existing Intellectual Property</w:t>
      </w:r>
    </w:p>
    <w:p>
      <w:pPr>
        <w:spacing w:after="80" w:before="80"/>
      </w:pPr>
      <w:r>
        <w:rPr>
          <w:rFonts w:ascii="Arial" w:cs="Arial" w:eastAsia="Arial" w:hAnsi="Arial"/>
          <w:color w:val="2A332A"/>
          <w:sz w:val="20"/>
          <w:szCs w:val="20"/>
        </w:rPr>
        <w:t xml:space="preserve">Each Party retains all right, title, and interest in its Pre-Existing IP. “Pre-Existing IP” means all intellectual property and proprietary materials owned or licensed by a Party prior to the Effective Date or developed independently of this Agreement.</w:t>
      </w:r>
    </w:p>
    <w:p>
      <w:pPr>
        <w:spacing w:after="80" w:before="80"/>
      </w:pPr>
      <w:r>
        <w:rPr>
          <w:rFonts w:ascii="Arial" w:cs="Arial" w:eastAsia="Arial" w:hAnsi="Arial"/>
          <w:color w:val="2A332A"/>
          <w:sz w:val="20"/>
          <w:szCs w:val="20"/>
        </w:rPr>
        <w:t xml:space="preserve">For clarity: Periculum’s Pre-Existing IP includes the 6A Compass methodology and framework, all associated assessment instruments, scoring tools, deliverable templates, and any AI governance, cybersecurity, ESG, or enterprise risk frameworks developed outside of a specific client engagement. Disclosure of Pre-Existing IP under this Agreement does not transfer any ownership or license rights beyond the Purpose described in Section 4.</w:t>
      </w:r>
    </w:p>
    <w:p>
      <w:pPr>
        <w:pBdr>
          <w:bottom w:val="single" w:color="C2A96A" w:sz="4" w:space="4"/>
        </w:pBdr>
        <w:spacing w:after="160" w:before="320"/>
      </w:pPr>
      <w:r>
        <w:rPr>
          <w:rFonts w:ascii="Arial" w:cs="Arial" w:eastAsia="Arial" w:hAnsi="Arial"/>
          <w:b/>
          <w:bCs/>
          <w:color w:val="3E5C3C"/>
          <w:sz w:val="26"/>
          <w:szCs w:val="26"/>
        </w:rPr>
        <w:t xml:space="preserve">3.  Exclusions</w:t>
      </w:r>
    </w:p>
    <w:p>
      <w:pPr>
        <w:spacing w:after="80" w:before="80"/>
      </w:pPr>
      <w:r>
        <w:rPr>
          <w:rFonts w:ascii="Arial" w:cs="Arial" w:eastAsia="Arial" w:hAnsi="Arial"/>
          <w:color w:val="2A332A"/>
          <w:sz w:val="20"/>
          <w:szCs w:val="20"/>
        </w:rPr>
        <w:t xml:space="preserve">Confidential Information does not include information that:</w:t>
      </w:r>
    </w:p>
    <w:p>
      <w:pPr>
        <w:pStyle w:val="ListParagraph"/>
        <w:numPr>
          <w:ilvl w:val="0"/>
          <w:numId w:val="2"/>
        </w:numPr>
        <w:spacing w:after="60" w:before="60"/>
      </w:pPr>
      <w:r>
        <w:rPr>
          <w:rFonts w:ascii="Arial" w:cs="Arial" w:eastAsia="Arial" w:hAnsi="Arial"/>
          <w:color w:val="2A332A"/>
          <w:sz w:val="20"/>
          <w:szCs w:val="20"/>
        </w:rPr>
        <w:t xml:space="preserve">Is or becomes publicly known through no fault of the Receiving Party;</w:t>
      </w:r>
    </w:p>
    <w:p>
      <w:pPr>
        <w:pStyle w:val="ListParagraph"/>
        <w:numPr>
          <w:ilvl w:val="0"/>
          <w:numId w:val="2"/>
        </w:numPr>
        <w:spacing w:after="60" w:before="60"/>
      </w:pPr>
      <w:r>
        <w:rPr>
          <w:rFonts w:ascii="Arial" w:cs="Arial" w:eastAsia="Arial" w:hAnsi="Arial"/>
          <w:color w:val="2A332A"/>
          <w:sz w:val="20"/>
          <w:szCs w:val="20"/>
        </w:rPr>
        <w:t xml:space="preserve">Was rightfully in the Receiving Party’s possession before disclosure, without confidentiality obligations;</w:t>
      </w:r>
    </w:p>
    <w:p>
      <w:pPr>
        <w:pStyle w:val="ListParagraph"/>
        <w:numPr>
          <w:ilvl w:val="0"/>
          <w:numId w:val="2"/>
        </w:numPr>
        <w:spacing w:after="60" w:before="60"/>
      </w:pPr>
      <w:r>
        <w:rPr>
          <w:rFonts w:ascii="Arial" w:cs="Arial" w:eastAsia="Arial" w:hAnsi="Arial"/>
          <w:color w:val="2A332A"/>
          <w:sz w:val="20"/>
          <w:szCs w:val="20"/>
        </w:rPr>
        <w:t xml:space="preserve">Is independently developed by the Receiving Party without use of or reference to the Disclosing Party’s Confidential Information;</w:t>
      </w:r>
    </w:p>
    <w:p>
      <w:pPr>
        <w:pStyle w:val="ListParagraph"/>
        <w:numPr>
          <w:ilvl w:val="0"/>
          <w:numId w:val="2"/>
        </w:numPr>
        <w:spacing w:after="60" w:before="60"/>
      </w:pPr>
      <w:r>
        <w:rPr>
          <w:rFonts w:ascii="Arial" w:cs="Arial" w:eastAsia="Arial" w:hAnsi="Arial"/>
          <w:color w:val="2A332A"/>
          <w:sz w:val="20"/>
          <w:szCs w:val="20"/>
        </w:rPr>
        <w:t xml:space="preserve">Is rightfully received from a third party without confidentiality obligations; or</w:t>
      </w:r>
    </w:p>
    <w:p>
      <w:pPr>
        <w:pStyle w:val="ListParagraph"/>
        <w:numPr>
          <w:ilvl w:val="0"/>
          <w:numId w:val="2"/>
        </w:numPr>
        <w:spacing w:after="60" w:before="60"/>
      </w:pPr>
      <w:r>
        <w:rPr>
          <w:rFonts w:ascii="Arial" w:cs="Arial" w:eastAsia="Arial" w:hAnsi="Arial"/>
          <w:color w:val="2A332A"/>
          <w:sz w:val="20"/>
          <w:szCs w:val="20"/>
        </w:rPr>
        <w:t xml:space="preserve">Is required to be disclosed by applicable law or court order, provided the Receiving Party gives prompt written notice to the Disclosing Party and cooperates in seeking a protective order.</w:t>
      </w:r>
    </w:p>
    <w:p>
      <w:pPr>
        <w:pBdr>
          <w:bottom w:val="single" w:color="C2A96A" w:sz="4" w:space="4"/>
        </w:pBdr>
        <w:spacing w:after="160" w:before="320"/>
      </w:pPr>
      <w:r>
        <w:rPr>
          <w:rFonts w:ascii="Arial" w:cs="Arial" w:eastAsia="Arial" w:hAnsi="Arial"/>
          <w:b/>
          <w:bCs/>
          <w:color w:val="3E5C3C"/>
          <w:sz w:val="26"/>
          <w:szCs w:val="26"/>
        </w:rPr>
        <w:t xml:space="preserve">4.  Purpose and Obligations</w:t>
      </w:r>
    </w:p>
    <w:p>
      <w:pPr>
        <w:spacing w:after="80" w:before="80"/>
      </w:pPr>
      <w:r>
        <w:rPr>
          <w:rFonts w:ascii="Arial" w:cs="Arial" w:eastAsia="Arial" w:hAnsi="Arial"/>
          <w:color w:val="2A332A"/>
          <w:sz w:val="20"/>
          <w:szCs w:val="20"/>
        </w:rPr>
        <w:t xml:space="preserve">The “Purpose” means: evaluation of, and engagement in, a potential or actual business relationship between the Parties in the areas of AI governance advisory, cybersecurity and risk advisory, ESG and sustainability risk advisory, and related services.</w:t>
      </w:r>
    </w:p>
    <w:p>
      <w:pPr>
        <w:spacing w:after="80" w:before="80"/>
      </w:pPr>
      <w:r>
        <w:t xml:space="preserve"/>
      </w:r>
    </w:p>
    <w:p>
      <w:pPr>
        <w:spacing w:after="80" w:before="80"/>
      </w:pPr>
      <w:r>
        <w:rPr>
          <w:rFonts w:ascii="Arial" w:cs="Arial" w:eastAsia="Arial" w:hAnsi="Arial"/>
          <w:color w:val="2A332A"/>
          <w:sz w:val="20"/>
          <w:szCs w:val="20"/>
        </w:rPr>
        <w:t xml:space="preserve">The Receiving Party shall:</w:t>
      </w:r>
    </w:p>
    <w:p>
      <w:pPr>
        <w:pStyle w:val="ListParagraph"/>
        <w:numPr>
          <w:ilvl w:val="0"/>
          <w:numId w:val="2"/>
        </w:numPr>
        <w:spacing w:after="60" w:before="60"/>
      </w:pPr>
      <w:r>
        <w:rPr>
          <w:rFonts w:ascii="Arial" w:cs="Arial" w:eastAsia="Arial" w:hAnsi="Arial"/>
          <w:color w:val="2A332A"/>
          <w:sz w:val="20"/>
          <w:szCs w:val="20"/>
        </w:rPr>
        <w:t xml:space="preserve">Protect Confidential Information using at least the same degree of care it uses to protect its own confidential information of like importance, and in no event less than reasonable care;</w:t>
      </w:r>
    </w:p>
    <w:p>
      <w:pPr>
        <w:pStyle w:val="ListParagraph"/>
        <w:numPr>
          <w:ilvl w:val="0"/>
          <w:numId w:val="2"/>
        </w:numPr>
        <w:spacing w:after="60" w:before="60"/>
      </w:pPr>
      <w:r>
        <w:rPr>
          <w:rFonts w:ascii="Arial" w:cs="Arial" w:eastAsia="Arial" w:hAnsi="Arial"/>
          <w:color w:val="2A332A"/>
          <w:sz w:val="20"/>
          <w:szCs w:val="20"/>
        </w:rPr>
        <w:t xml:space="preserve">Not disclose Confidential Information to any third party except to employees, independent contractors, and professional advisors who have a need to know and are bound by confidentiality obligations at least as protective as those in this Agreement;</w:t>
      </w:r>
    </w:p>
    <w:p>
      <w:pPr>
        <w:pStyle w:val="ListParagraph"/>
        <w:numPr>
          <w:ilvl w:val="0"/>
          <w:numId w:val="2"/>
        </w:numPr>
        <w:spacing w:after="60" w:before="60"/>
      </w:pPr>
      <w:r>
        <w:rPr>
          <w:rFonts w:ascii="Arial" w:cs="Arial" w:eastAsia="Arial" w:hAnsi="Arial"/>
          <w:color w:val="2A332A"/>
          <w:sz w:val="20"/>
          <w:szCs w:val="20"/>
        </w:rPr>
        <w:t xml:space="preserve">Use Confidential Information only for the Purpose; and</w:t>
      </w:r>
    </w:p>
    <w:p>
      <w:pPr>
        <w:pStyle w:val="ListParagraph"/>
        <w:numPr>
          <w:ilvl w:val="0"/>
          <w:numId w:val="2"/>
        </w:numPr>
        <w:spacing w:after="60" w:before="60"/>
      </w:pPr>
      <w:r>
        <w:rPr>
          <w:rFonts w:ascii="Arial" w:cs="Arial" w:eastAsia="Arial" w:hAnsi="Arial"/>
          <w:color w:val="2A332A"/>
          <w:sz w:val="20"/>
          <w:szCs w:val="20"/>
        </w:rPr>
        <w:t xml:space="preserve">Promptly notify the Disclosing Party upon discovery of any unauthorized use or disclosure of Confidential Information.</w:t>
      </w:r>
    </w:p>
    <w:p>
      <w:pPr>
        <w:pBdr>
          <w:bottom w:val="single" w:color="C2A96A" w:sz="4" w:space="4"/>
        </w:pBdr>
        <w:spacing w:after="160" w:before="320"/>
      </w:pPr>
      <w:r>
        <w:rPr>
          <w:rFonts w:ascii="Arial" w:cs="Arial" w:eastAsia="Arial" w:hAnsi="Arial"/>
          <w:b/>
          <w:bCs/>
          <w:color w:val="3E5C3C"/>
          <w:sz w:val="26"/>
          <w:szCs w:val="26"/>
        </w:rPr>
        <w:t xml:space="preserve">5.  Parallel Engagements and Conflict Disclosure</w:t>
      </w:r>
    </w:p>
    <w:p>
      <w:pPr>
        <w:spacing w:after="80" w:before="80"/>
      </w:pPr>
      <w:r>
        <w:rPr>
          <w:rFonts w:ascii="Arial" w:cs="Arial" w:eastAsia="Arial" w:hAnsi="Arial"/>
          <w:color w:val="2A332A"/>
          <w:sz w:val="20"/>
          <w:szCs w:val="20"/>
        </w:rPr>
        <w:t xml:space="preserve">Each Party acknowledges that the other Party may be engaged with other clients or advisors in similar domains. The existence of parallel engagements does not itself constitute a breach of this Agreement, provided the Receiving Party does not use the Disclosing Party’s Confidential Information in those engagements.</w:t>
      </w:r>
    </w:p>
    <w:p>
      <w:pPr>
        <w:spacing w:after="80" w:before="80"/>
      </w:pPr>
      <w:r>
        <w:rPr>
          <w:rFonts w:ascii="Arial" w:cs="Arial" w:eastAsia="Arial" w:hAnsi="Arial"/>
          <w:color w:val="2A332A"/>
          <w:sz w:val="20"/>
          <w:szCs w:val="20"/>
        </w:rPr>
        <w:t xml:space="preserve">Periculum operates as an independent advisory practice. Where Periculum is also engaged as a subcontractor or advisor through a third-party firm in the AI governance, cybersecurity, or ESG domain, Periculum will not use Counterparty’s Confidential Information in those engagements and will not use materials from those engagements in its work for the Counterparty.</w:t>
      </w:r>
    </w:p>
    <w:p>
      <w:pPr>
        <w:spacing w:after="80" w:before="80"/>
      </w:pPr>
      <w:r>
        <w:rPr>
          <w:rFonts w:ascii="Arial" w:cs="Arial" w:eastAsia="Arial" w:hAnsi="Arial"/>
          <w:color w:val="2A332A"/>
          <w:sz w:val="20"/>
          <w:szCs w:val="20"/>
        </w:rPr>
        <w:t xml:space="preserve">Either Party shall promptly disclose to the other any material conflict of interest that arises after the Effective Date.</w:t>
      </w:r>
    </w:p>
    <w:p>
      <w:pPr>
        <w:pBdr>
          <w:bottom w:val="single" w:color="C2A96A" w:sz="4" w:space="4"/>
        </w:pBdr>
        <w:spacing w:after="160" w:before="320"/>
      </w:pPr>
      <w:r>
        <w:rPr>
          <w:rFonts w:ascii="Arial" w:cs="Arial" w:eastAsia="Arial" w:hAnsi="Arial"/>
          <w:b/>
          <w:bCs/>
          <w:color w:val="3E5C3C"/>
          <w:sz w:val="26"/>
          <w:szCs w:val="26"/>
        </w:rPr>
        <w:t xml:space="preserve">6.  Term</w:t>
      </w:r>
    </w:p>
    <w:p>
      <w:pPr>
        <w:spacing w:after="80" w:before="80"/>
      </w:pPr>
      <w:r>
        <w:rPr>
          <w:rFonts w:ascii="Arial" w:cs="Arial" w:eastAsia="Arial" w:hAnsi="Arial"/>
          <w:color w:val="2A332A"/>
          <w:sz w:val="20"/>
          <w:szCs w:val="20"/>
        </w:rPr>
        <w:t xml:space="preserve">This Agreement commences on the Effective Date and continues for three (3) years unless earlier terminated by either Party upon thirty (30) days’ written notice. Confidentiality obligations survive termination for a period of five (5) years from the date of initial disclosure of the relevant Confidential Information, or indefinitely for trade secrets under applicable law.</w:t>
      </w:r>
    </w:p>
    <w:p>
      <w:pPr>
        <w:pBdr>
          <w:bottom w:val="single" w:color="C2A96A" w:sz="4" w:space="4"/>
        </w:pBdr>
        <w:spacing w:after="160" w:before="320"/>
      </w:pPr>
      <w:r>
        <w:rPr>
          <w:rFonts w:ascii="Arial" w:cs="Arial" w:eastAsia="Arial" w:hAnsi="Arial"/>
          <w:b/>
          <w:bCs/>
          <w:color w:val="3E5C3C"/>
          <w:sz w:val="26"/>
          <w:szCs w:val="26"/>
        </w:rPr>
        <w:t xml:space="preserve">7.  Return or Destruction</w:t>
      </w:r>
    </w:p>
    <w:p>
      <w:pPr>
        <w:spacing w:after="80" w:before="80"/>
      </w:pPr>
      <w:r>
        <w:rPr>
          <w:rFonts w:ascii="Arial" w:cs="Arial" w:eastAsia="Arial" w:hAnsi="Arial"/>
          <w:color w:val="2A332A"/>
          <w:sz w:val="20"/>
          <w:szCs w:val="20"/>
        </w:rPr>
        <w:t xml:space="preserve">Upon request or termination, the Receiving Party shall promptly return or certifiably destroy all Confidential Information of the Disclosing Party and confirm such destruction in writing. Archival copies retained for legal compliance purposes remain subject to the confidentiality obligations of this Agreement.</w:t>
      </w:r>
    </w:p>
    <w:p>
      <w:pPr>
        <w:pBdr>
          <w:bottom w:val="single" w:color="C2A96A" w:sz="4" w:space="4"/>
        </w:pBdr>
        <w:spacing w:after="160" w:before="320"/>
      </w:pPr>
      <w:r>
        <w:rPr>
          <w:rFonts w:ascii="Arial" w:cs="Arial" w:eastAsia="Arial" w:hAnsi="Arial"/>
          <w:b/>
          <w:bCs/>
          <w:color w:val="3E5C3C"/>
          <w:sz w:val="26"/>
          <w:szCs w:val="26"/>
        </w:rPr>
        <w:t xml:space="preserve">8.  No License; No Obligation</w:t>
      </w:r>
    </w:p>
    <w:p>
      <w:pPr>
        <w:spacing w:after="80" w:before="80"/>
      </w:pPr>
      <w:r>
        <w:rPr>
          <w:rFonts w:ascii="Arial" w:cs="Arial" w:eastAsia="Arial" w:hAnsi="Arial"/>
          <w:color w:val="2A332A"/>
          <w:sz w:val="20"/>
          <w:szCs w:val="20"/>
        </w:rPr>
        <w:t xml:space="preserve">Nothing in this Agreement grants either Party any license, ownership right, or other interest in the other’s Confidential Information or Pre-Existing IP beyond the Purpose. Neither Party is obligated to enter into any further agreement or business relationship as a result of this Agreement.</w:t>
      </w:r>
    </w:p>
    <w:p>
      <w:pPr>
        <w:pBdr>
          <w:bottom w:val="single" w:color="C2A96A" w:sz="4" w:space="4"/>
        </w:pBdr>
        <w:spacing w:after="160" w:before="320"/>
      </w:pPr>
      <w:r>
        <w:rPr>
          <w:rFonts w:ascii="Arial" w:cs="Arial" w:eastAsia="Arial" w:hAnsi="Arial"/>
          <w:b/>
          <w:bCs/>
          <w:color w:val="3E5C3C"/>
          <w:sz w:val="26"/>
          <w:szCs w:val="26"/>
        </w:rPr>
        <w:t xml:space="preserve">9.  Governing Law; Dispute Resolution</w:t>
      </w:r>
    </w:p>
    <w:p>
      <w:pPr>
        <w:spacing w:after="80" w:before="80"/>
      </w:pPr>
      <w:r>
        <w:rPr>
          <w:rFonts w:ascii="Arial" w:cs="Arial" w:eastAsia="Arial" w:hAnsi="Arial"/>
          <w:color w:val="2A332A"/>
          <w:sz w:val="20"/>
          <w:szCs w:val="20"/>
        </w:rPr>
        <w:t xml:space="preserve">This Agreement is governed by the laws of the State of Texas, without regard to its conflict of laws principles. Any dispute arising under this Agreement shall first be submitted to good-faith mediation in Dallas County, Texas. If mediation does not resolve the dispute within sixty (60) days, either Party may pursue its available legal remedies. The Parties submit to the exclusive jurisdiction of the state and federal courts located in Collin County or Dallas County, Texas.</w:t>
      </w:r>
    </w:p>
    <w:p>
      <w:pPr>
        <w:pBdr>
          <w:bottom w:val="single" w:color="C2A96A" w:sz="4" w:space="4"/>
        </w:pBdr>
        <w:spacing w:after="160" w:before="320"/>
      </w:pPr>
      <w:r>
        <w:rPr>
          <w:rFonts w:ascii="Arial" w:cs="Arial" w:eastAsia="Arial" w:hAnsi="Arial"/>
          <w:b/>
          <w:bCs/>
          <w:color w:val="3E5C3C"/>
          <w:sz w:val="26"/>
          <w:szCs w:val="26"/>
        </w:rPr>
        <w:t xml:space="preserve">10.  General</w:t>
      </w:r>
    </w:p>
    <w:p>
      <w:pPr>
        <w:spacing w:after="80" w:before="80"/>
      </w:pPr>
      <w:r>
        <w:rPr>
          <w:rFonts w:ascii="Arial" w:cs="Arial" w:eastAsia="Arial" w:hAnsi="Arial"/>
          <w:color w:val="2A332A"/>
          <w:sz w:val="20"/>
          <w:szCs w:val="20"/>
        </w:rPr>
        <w:t xml:space="preserve">This Agreement constitutes the entire agreement between the Parties with respect to its subject matter and supersedes all prior discussions and agreements. It may be amended only by a written instrument signed by authorized representatives of both Parties. If any provision is found unenforceable, the remaining provisions continue in full force. Failure to enforce any provision is not a waiver of future enforcement rights.</w:t>
      </w:r>
    </w:p>
    <w:p>
      <w:pPr>
        <w:spacing w:after="80" w:before="80"/>
      </w:pPr>
      <w:r>
        <w:t xml:space="preserve"/>
      </w:r>
    </w:p>
    <w:p>
      <w:pPr>
        <w:spacing w:after="80" w:before="80"/>
      </w:pPr>
      <w:r>
        <w:t xml:space="preserve"/>
      </w:r>
    </w:p>
    <w:p>
      <w:pPr>
        <w:pBdr>
          <w:bottom w:val="single" w:color="C2A96A" w:sz="4" w:space="4"/>
        </w:pBdr>
        <w:spacing w:after="160" w:before="320"/>
      </w:pPr>
      <w:r>
        <w:rPr>
          <w:rFonts w:ascii="Arial" w:cs="Arial" w:eastAsia="Arial" w:hAnsi="Arial"/>
          <w:b/>
          <w:bCs/>
          <w:color w:val="3E5C3C"/>
          <w:sz w:val="26"/>
          <w:szCs w:val="26"/>
        </w:rPr>
        <w:t xml:space="preserve">SIGNATURES</w:t>
      </w:r>
    </w:p>
    <w:p>
      <w:pPr>
        <w:spacing w:after="80" w:before="80"/>
      </w:pPr>
      <w:r>
        <w:rPr>
          <w:rFonts w:ascii="Arial" w:cs="Arial" w:eastAsia="Arial" w:hAnsi="Arial"/>
          <w:color w:val="2A332A"/>
          <w:sz w:val="20"/>
          <w:szCs w:val="20"/>
        </w:rPr>
        <w:t xml:space="preserve">By signing below, the Parties agree to be bound by the terms of this Agreement.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60" w:before="0"/>
            </w:pPr>
            <w:r>
              <w:rPr>
                <w:rFonts w:ascii="Arial" w:cs="Arial" w:eastAsia="Arial" w:hAnsi="Arial"/>
                <w:b/>
                <w:bCs/>
                <w:color w:val="3E5C3C"/>
                <w:sz w:val="20"/>
                <w:szCs w:val="20"/>
              </w:rPr>
              <w:t xml:space="preserve">Periculum LLC</w:t>
            </w:r>
          </w:p>
          <w:p>
            <w:pPr>
              <w:pBdr>
                <w:bottom w:val="single" w:color="AAAAAA" w:sz="4"/>
              </w:pBdr>
              <w:spacing w:after="60" w:before="400"/>
            </w:pPr>
            <w:r>
              <w:t xml:space="preserve"/>
            </w:r>
          </w:p>
          <w:p>
            <w:pPr>
              <w:spacing w:after="20" w:before="40"/>
            </w:pPr>
            <w:r>
              <w:rPr>
                <w:rFonts w:ascii="Arial" w:cs="Arial" w:eastAsia="Arial" w:hAnsi="Arial"/>
                <w:color w:val="2A332A"/>
                <w:sz w:val="18"/>
                <w:szCs w:val="18"/>
              </w:rPr>
              <w:t xml:space="preserve">Name: Sai Santhanakrishnan</w:t>
            </w:r>
          </w:p>
          <w:p>
            <w:pPr>
              <w:spacing w:after="20" w:before="20"/>
            </w:pPr>
            <w:r>
              <w:rPr>
                <w:rFonts w:ascii="Arial" w:cs="Arial" w:eastAsia="Arial" w:hAnsi="Arial"/>
                <w:color w:val="2A332A"/>
                <w:sz w:val="18"/>
                <w:szCs w:val="18"/>
              </w:rPr>
              <w:t xml:space="preserve">Title: Founder &amp; Principal Advisor</w:t>
            </w:r>
          </w:p>
          <w:p>
            <w:pPr>
              <w:spacing w:after="20" w:before="20"/>
            </w:pPr>
            <w:r>
              <w:rPr>
                <w:rFonts w:ascii="Arial" w:cs="Arial" w:eastAsia="Arial" w:hAnsi="Arial"/>
                <w:color w:val="2A332A"/>
                <w:sz w:val="18"/>
                <w:szCs w:val="18"/>
              </w:rPr>
              <w:t xml:space="preserve">Date: _______________</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Mar>
              <w:top w:type="dxa" w:w="80"/>
              <w:left w:type="dxa" w:w="120"/>
              <w:bottom w:type="dxa" w:w="80"/>
              <w:right w:type="dxa" w:w="0"/>
            </w:tcMar>
          </w:tcPr>
          <w:p>
            <w:pPr>
              <w:spacing w:after="60" w:before="0"/>
            </w:pPr>
            <w:r>
              <w:rPr>
                <w:rFonts w:ascii="Arial" w:cs="Arial" w:eastAsia="Arial" w:hAnsi="Arial"/>
                <w:b/>
                <w:bCs/>
                <w:color w:val="3E5C3C"/>
                <w:sz w:val="20"/>
                <w:szCs w:val="20"/>
              </w:rPr>
              <w:t xml:space="preserve">[COUNTERPARTY]</w:t>
            </w:r>
          </w:p>
          <w:p>
            <w:pPr>
              <w:pBdr>
                <w:bottom w:val="single" w:color="AAAAAA" w:sz="4"/>
              </w:pBdr>
              <w:spacing w:after="60" w:before="400"/>
            </w:pPr>
            <w:r>
              <w:t xml:space="preserve"/>
            </w:r>
          </w:p>
          <w:p>
            <w:pPr>
              <w:spacing w:after="20" w:before="40"/>
            </w:pPr>
            <w:r>
              <w:rPr>
                <w:rFonts w:ascii="Arial" w:cs="Arial" w:eastAsia="Arial" w:hAnsi="Arial"/>
                <w:color w:val="2A332A"/>
                <w:sz w:val="18"/>
                <w:szCs w:val="18"/>
              </w:rPr>
              <w:t xml:space="preserve">Name: ___________________________</w:t>
            </w:r>
          </w:p>
          <w:p>
            <w:pPr>
              <w:spacing w:after="20" w:before="20"/>
            </w:pPr>
            <w:r>
              <w:rPr>
                <w:rFonts w:ascii="Arial" w:cs="Arial" w:eastAsia="Arial" w:hAnsi="Arial"/>
                <w:color w:val="2A332A"/>
                <w:sz w:val="18"/>
                <w:szCs w:val="18"/>
              </w:rPr>
              <w:t xml:space="preserve">Title: ____________________________</w:t>
            </w:r>
          </w:p>
          <w:p>
            <w:pPr>
              <w:spacing w:after="20" w:before="20"/>
            </w:pPr>
            <w:r>
              <w:rPr>
                <w:rFonts w:ascii="Arial" w:cs="Arial" w:eastAsia="Arial" w:hAnsi="Arial"/>
                <w:color w:val="2A332A"/>
                <w:sz w:val="18"/>
                <w:szCs w:val="18"/>
              </w:rPr>
              <w:t xml:space="preserve">Date: ____________________________</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2A96A" w:sz="4" w:space="4"/>
      </w:pBdr>
      <w:spacing w:after="0" w:before="120"/>
      <w:jc w:val="center"/>
    </w:pPr>
    <w:r>
      <w:rPr>
        <w:rFonts w:ascii="Arial" w:cs="Arial" w:eastAsia="Arial" w:hAnsi="Arial"/>
        <w:color w:val="666666"/>
        <w:sz w:val="16"/>
        <w:szCs w:val="16"/>
      </w:rPr>
      <w:t xml:space="preserve">Periculum LLC  ·  Plano, Texas  ·  periculum.us  ·  connect@periculum.us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A96A" w:sz="4" w:space="4"/>
      </w:pBdr>
      <w:spacing w:after="120" w:before="0"/>
    </w:pPr>
    <w:r>
      <w:rPr>
        <w:rFonts w:ascii="Arial" w:cs="Arial" w:eastAsia="Arial" w:hAnsi="Arial"/>
        <w:b/>
        <w:bCs/>
        <w:color w:val="3E5C3C"/>
        <w:sz w:val="18"/>
        <w:szCs w:val="18"/>
      </w:rPr>
      <w:t xml:space="preserve">PERICULUM LLC</w:t>
    </w:r>
    <w:r>
      <w:rPr>
        <w:rFonts w:ascii="Arial" w:cs="Arial" w:eastAsia="Arial" w:hAnsi="Arial"/>
        <w:color w:val="666666"/>
        <w:sz w:val="18"/>
        <w:szCs w:val="18"/>
      </w:rPr>
      <w:t xml:space="preserve">   ·   MUTUAL NON-DISCLOSURE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33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2026-06-19T22:46:16.590Z</dcterms:created>
  <dcterms:modified xsi:type="dcterms:W3CDTF">2026-06-19T22:46:16.590Z</dcterms:modified>
</cp:coreProperties>
</file>

<file path=docProps/custom.xml><?xml version="1.0" encoding="utf-8"?>
<Properties xmlns="http://schemas.openxmlformats.org/officeDocument/2006/custom-properties" xmlns:vt="http://schemas.openxmlformats.org/officeDocument/2006/docPropsVTypes"/>
</file>