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E5C3C"/>
          <w:sz w:val="36"/>
          <w:szCs w:val="36"/>
        </w:rPr>
        <w:t xml:space="preserve">ADVISORY SERVICES PROPOSAL</w:t>
      </w:r>
    </w:p>
    <w:p>
      <w:pPr>
        <w:spacing w:after="40" w:before="0"/>
        <w:jc w:val="center"/>
      </w:pPr>
      <w:r>
        <w:rPr>
          <w:rFonts w:ascii="Arial" w:cs="Arial" w:eastAsia="Arial" w:hAnsi="Arial"/>
          <w:color w:val="666666"/>
          <w:sz w:val="22"/>
          <w:szCs w:val="22"/>
        </w:rPr>
        <w:t xml:space="preserve">Prepared by Periculum LLC</w:t>
      </w:r>
    </w:p>
    <w:p>
      <w:pPr>
        <w:spacing w:after="40" w:before="0"/>
        <w:jc w:val="center"/>
      </w:pPr>
      <w:r>
        <w:rPr>
          <w:rFonts w:ascii="Arial" w:cs="Arial" w:eastAsia="Arial" w:hAnsi="Arial"/>
          <w:color w:val="666666"/>
          <w:sz w:val="20"/>
          <w:szCs w:val="20"/>
        </w:rPr>
        <w:t xml:space="preserve">periculum.us  ·  connect@periculum.us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Prepared for:</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[PROSPECT / ORGANIZATION NAME]</w:t>
            </w:r>
          </w:p>
        </w:tc>
      </w:tr>
      <w:tr>
        <w:tc>
          <w:tcPr>
            <w:tcW w:type="dxa" w:w="240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RFP / Request ref:</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[RFP NUMBER OR DATE]</w:t>
            </w:r>
          </w:p>
        </w:tc>
      </w:tr>
      <w:tr>
        <w:tc>
          <w:tcPr>
            <w:tcW w:type="dxa" w:w="240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Proposal date: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_______________</w:t>
            </w:r>
          </w:p>
        </w:tc>
      </w:tr>
      <w:tr>
        <w:tc>
          <w:tcPr>
            <w:tcW w:type="dxa" w:w="240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Proposal valid through:</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60 days from proposal date</w:t>
            </w:r>
          </w:p>
        </w:tc>
      </w:tr>
      <w:tr>
        <w:tc>
          <w:tcPr>
            <w:tcW w:type="dxa" w:w="240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Point of contact: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Sai Santhanakrishnan  ·  connect@periculum.us  ·  (214) 843-0129</w:t>
            </w:r>
          </w:p>
        </w:tc>
      </w:tr>
    </w:tbl>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1.  Executive Summary</w:t>
      </w:r>
    </w:p>
    <w:p>
      <w:pPr>
        <w:spacing w:after="80" w:before="80"/>
      </w:pPr>
      <w:r>
        <w:rPr>
          <w:rFonts w:ascii="Arial" w:cs="Arial" w:eastAsia="Arial" w:hAnsi="Arial"/>
          <w:color w:val="2A332A"/>
          <w:sz w:val="20"/>
          <w:szCs w:val="20"/>
        </w:rPr>
        <w:t xml:space="preserve">Periculum LLC is a boutique advisory firm headquartered in Plano, Texas, built on twenty years of frontline experience inside globally regulated financial institutions and technology enterprises. We help boards, executive teams, and growth-stage organizations build the governance, risk, and accountability frameworks required to lead — and be trusted to lead — in a world shaped by AI, cyber, and ESG.</w:t>
      </w:r>
    </w:p>
    <w:p>
      <w:pPr>
        <w:spacing w:after="80" w:before="80"/>
      </w:pPr>
      <w:r>
        <w:t xml:space="preserve"/>
      </w:r>
    </w:p>
    <w:p>
      <w:pPr>
        <w:spacing w:after="80" w:before="80"/>
      </w:pPr>
      <w:r>
        <w:rPr>
          <w:rFonts w:ascii="Arial" w:cs="Arial" w:eastAsia="Arial" w:hAnsi="Arial"/>
          <w:color w:val="2A332A"/>
          <w:sz w:val="20"/>
          <w:szCs w:val="20"/>
        </w:rPr>
        <w:t xml:space="preserve">[PROSPECT NAME] is seeking [summarize the request / problem statement in 1-2 sentences]. Periculum proposes a structured advisory engagement using our proprietary 6A Compass methodology to deliver [key outcome in one phrase].</w:t>
      </w:r>
    </w:p>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2.  Understanding of the Requirement</w:t>
      </w:r>
    </w:p>
    <w:p>
      <w:pPr>
        <w:spacing w:after="80" w:before="80"/>
      </w:pPr>
      <w:r>
        <w:rPr>
          <w:rFonts w:ascii="Arial" w:cs="Arial" w:eastAsia="Arial" w:hAnsi="Arial"/>
          <w:color w:val="2A332A"/>
          <w:sz w:val="20"/>
          <w:szCs w:val="20"/>
        </w:rPr>
        <w:t xml:space="preserve">[Describe your understanding of the client's challenge, regulatory environment, risk exposure, or strategic priority. Reference their RFP language or known context. 2-4 paragraphs or bullets.]</w:t>
      </w:r>
    </w:p>
    <w:p>
      <w:pPr>
        <w:pStyle w:val="ListParagraph"/>
        <w:numPr>
          <w:ilvl w:val="0"/>
          <w:numId w:val="2"/>
        </w:numPr>
        <w:spacing w:after="60" w:before="60"/>
      </w:pPr>
      <w:r>
        <w:rPr>
          <w:rFonts w:ascii="Arial" w:cs="Arial" w:eastAsia="Arial" w:hAnsi="Arial"/>
          <w:color w:val="2A332A"/>
          <w:sz w:val="20"/>
          <w:szCs w:val="20"/>
        </w:rPr>
        <w:t xml:space="preserve">[Key requirement 1]</w:t>
      </w:r>
    </w:p>
    <w:p>
      <w:pPr>
        <w:pStyle w:val="ListParagraph"/>
        <w:numPr>
          <w:ilvl w:val="0"/>
          <w:numId w:val="2"/>
        </w:numPr>
        <w:spacing w:after="60" w:before="60"/>
      </w:pPr>
      <w:r>
        <w:rPr>
          <w:rFonts w:ascii="Arial" w:cs="Arial" w:eastAsia="Arial" w:hAnsi="Arial"/>
          <w:color w:val="2A332A"/>
          <w:sz w:val="20"/>
          <w:szCs w:val="20"/>
        </w:rPr>
        <w:t xml:space="preserve">[Key requirement 2]</w:t>
      </w:r>
    </w:p>
    <w:p>
      <w:pPr>
        <w:pStyle w:val="ListParagraph"/>
        <w:numPr>
          <w:ilvl w:val="0"/>
          <w:numId w:val="2"/>
        </w:numPr>
        <w:spacing w:after="60" w:before="60"/>
      </w:pPr>
      <w:r>
        <w:rPr>
          <w:rFonts w:ascii="Arial" w:cs="Arial" w:eastAsia="Arial" w:hAnsi="Arial"/>
          <w:color w:val="2A332A"/>
          <w:sz w:val="20"/>
          <w:szCs w:val="20"/>
        </w:rPr>
        <w:t xml:space="preserve">[Key requirement 3]</w:t>
      </w:r>
    </w:p>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3.  Our Approach: The 6A Compass</w:t>
      </w:r>
    </w:p>
    <w:p>
      <w:pPr>
        <w:spacing w:after="80" w:before="80"/>
      </w:pPr>
      <w:r>
        <w:rPr>
          <w:rFonts w:ascii="Arial" w:cs="Arial" w:eastAsia="Arial" w:hAnsi="Arial"/>
          <w:color w:val="2A332A"/>
          <w:sz w:val="20"/>
          <w:szCs w:val="20"/>
        </w:rPr>
        <w:t xml:space="preserve">Every Periculum engagement is structured through the 6A Compass — a proprietary advisory methodology designed to move organizations from exposure to confidence: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Align</w:t>
            </w:r>
          </w:p>
        </w:tc>
        <w:tc>
          <w:tcPr>
            <w:tcW w:type="dxa" w:w="7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Establish leadership alignment on risk appetite, governance priorities, and regulatory obligations.</w:t>
            </w:r>
          </w:p>
        </w:tc>
      </w:tr>
      <w:tr>
        <w:tc>
          <w:tcPr>
            <w:tcW w:type="dxa" w:w="140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Assess</w:t>
            </w:r>
          </w:p>
        </w:tc>
        <w:tc>
          <w:tcPr>
            <w:tcW w:type="dxa" w:w="7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Baseline current state across people, process, technology, and culture using structured diagnostic tools.</w:t>
            </w:r>
          </w:p>
        </w:tc>
      </w:tr>
      <w:tr>
        <w:tc>
          <w:tcPr>
            <w:tcW w:type="dxa" w:w="140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Architect</w:t>
            </w:r>
          </w:p>
        </w:tc>
        <w:tc>
          <w:tcPr>
            <w:tcW w:type="dxa" w:w="7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Design the target operating model, governance structures, and policy framework required.</w:t>
            </w:r>
          </w:p>
        </w:tc>
      </w:tr>
      <w:tr>
        <w:tc>
          <w:tcPr>
            <w:tcW w:type="dxa" w:w="140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Activate</w:t>
            </w:r>
          </w:p>
        </w:tc>
        <w:tc>
          <w:tcPr>
            <w:tcW w:type="dxa" w:w="7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Build, implement, and operationalize the designed controls, programs, and reporting.</w:t>
            </w:r>
          </w:p>
        </w:tc>
      </w:tr>
      <w:tr>
        <w:tc>
          <w:tcPr>
            <w:tcW w:type="dxa" w:w="140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Assure</w:t>
            </w:r>
          </w:p>
        </w:tc>
        <w:tc>
          <w:tcPr>
            <w:tcW w:type="dxa" w:w="7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Validate effectiveness through testing, board reporting, and independent review.</w:t>
            </w:r>
          </w:p>
        </w:tc>
      </w:tr>
      <w:tr>
        <w:tc>
          <w:tcPr>
            <w:tcW w:type="dxa" w:w="140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Adapt</w:t>
            </w:r>
          </w:p>
        </w:tc>
        <w:tc>
          <w:tcPr>
            <w:tcW w:type="dxa" w:w="7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Embed continuous monitoring and recalibration as the risk landscape evolves.</w:t>
            </w:r>
          </w:p>
        </w:tc>
      </w:tr>
    </w:tbl>
    <w:p>
      <w:pPr>
        <w:spacing w:after="80" w:before="80"/>
      </w:pPr>
      <w:r>
        <w:t xml:space="preserve"/>
      </w:r>
    </w:p>
    <w:p>
      <w:pPr>
        <w:spacing w:after="80" w:before="80"/>
      </w:pPr>
      <w:r>
        <w:rPr>
          <w:rFonts w:ascii="Arial" w:cs="Arial" w:eastAsia="Arial" w:hAnsi="Arial"/>
          <w:color w:val="2A332A"/>
          <w:sz w:val="20"/>
          <w:szCs w:val="20"/>
        </w:rPr>
        <w:t xml:space="preserve">[Customize: describe which phases apply to this engagement and how each phase maps to the client's specific need.]</w:t>
      </w:r>
    </w:p>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4.  Proposed Services</w:t>
      </w:r>
    </w:p>
    <w:p>
      <w:pPr>
        <w:spacing w:after="80" w:before="80"/>
      </w:pPr>
      <w:r>
        <w:rPr>
          <w:rFonts w:ascii="Arial" w:cs="Arial" w:eastAsia="Arial" w:hAnsi="Arial"/>
          <w:color w:val="2A332A"/>
          <w:sz w:val="20"/>
          <w:szCs w:val="20"/>
        </w:rPr>
        <w:t xml:space="preserve">For this engagement, Periculum proposes the following services:</w:t>
      </w:r>
    </w:p>
    <w:p>
      <w:pPr>
        <w:pStyle w:val="ListParagraph"/>
        <w:numPr>
          <w:ilvl w:val="0"/>
          <w:numId w:val="2"/>
        </w:numPr>
        <w:spacing w:after="60" w:before="60"/>
      </w:pPr>
      <w:r>
        <w:rPr>
          <w:rFonts w:ascii="Arial" w:cs="Arial" w:eastAsia="Arial" w:hAnsi="Arial"/>
          <w:color w:val="2A332A"/>
          <w:sz w:val="20"/>
          <w:szCs w:val="20"/>
        </w:rPr>
        <w:t xml:space="preserve">[Service 1 — e.g., AI Governance Readiness Assessment: EU AI Act, NIST AI RMF gap analysis, risk tier mapping]</w:t>
      </w:r>
    </w:p>
    <w:p>
      <w:pPr>
        <w:pStyle w:val="ListParagraph"/>
        <w:numPr>
          <w:ilvl w:val="0"/>
          <w:numId w:val="2"/>
        </w:numPr>
        <w:spacing w:after="60" w:before="60"/>
      </w:pPr>
      <w:r>
        <w:rPr>
          <w:rFonts w:ascii="Arial" w:cs="Arial" w:eastAsia="Arial" w:hAnsi="Arial"/>
          <w:color w:val="2A332A"/>
          <w:sz w:val="20"/>
          <w:szCs w:val="20"/>
        </w:rPr>
        <w:t xml:space="preserve">[Service 2 — e.g., Board Advisory Framework: governance charter, oversight protocols, reporting cadence design]</w:t>
      </w:r>
    </w:p>
    <w:p>
      <w:pPr>
        <w:pStyle w:val="ListParagraph"/>
        <w:numPr>
          <w:ilvl w:val="0"/>
          <w:numId w:val="2"/>
        </w:numPr>
        <w:spacing w:after="60" w:before="60"/>
      </w:pPr>
      <w:r>
        <w:rPr>
          <w:rFonts w:ascii="Arial" w:cs="Arial" w:eastAsia="Arial" w:hAnsi="Arial"/>
          <w:color w:val="2A332A"/>
          <w:sz w:val="20"/>
          <w:szCs w:val="20"/>
        </w:rPr>
        <w:t xml:space="preserve">[Service 3 — e.g., Executive Workshop: 90-minute board session on AI risk and regulatory obligations]</w:t>
      </w:r>
    </w:p>
    <w:p>
      <w:pPr>
        <w:pStyle w:val="ListParagraph"/>
        <w:numPr>
          <w:ilvl w:val="0"/>
          <w:numId w:val="2"/>
        </w:numPr>
        <w:spacing w:after="60" w:before="60"/>
      </w:pPr>
      <w:r>
        <w:rPr>
          <w:rFonts w:ascii="Arial" w:cs="Arial" w:eastAsia="Arial" w:hAnsi="Arial"/>
          <w:color w:val="2A332A"/>
          <w:sz w:val="20"/>
          <w:szCs w:val="20"/>
        </w:rPr>
        <w:t xml:space="preserve">[Service 4 — e.g., Reskilling Strategy Advisory: organizational capability assessment and roadmap for AI adoption]</w:t>
      </w:r>
    </w:p>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5.  Deliverables</w:t>
      </w:r>
    </w:p>
    <w:p>
      <w:pPr>
        <w:spacing w:after="80" w:before="80"/>
      </w:pPr>
      <w:r>
        <w:rPr>
          <w:rFonts w:ascii="Arial" w:cs="Arial" w:eastAsia="Arial" w:hAnsi="Arial"/>
          <w:color w:val="2A332A"/>
          <w:sz w:val="20"/>
          <w:szCs w:val="20"/>
        </w:rPr>
        <w:t xml:space="preserve">At the conclusion of the engagement, Periculum will provide:</w:t>
      </w:r>
    </w:p>
    <w:p>
      <w:pPr>
        <w:pStyle w:val="ListParagraph"/>
        <w:numPr>
          <w:ilvl w:val="0"/>
          <w:numId w:val="2"/>
        </w:numPr>
        <w:spacing w:after="60" w:before="60"/>
      </w:pPr>
      <w:r>
        <w:rPr>
          <w:rFonts w:ascii="Arial" w:cs="Arial" w:eastAsia="Arial" w:hAnsi="Arial"/>
          <w:color w:val="2A332A"/>
          <w:sz w:val="20"/>
          <w:szCs w:val="20"/>
        </w:rPr>
        <w:t xml:space="preserve">[Deliverable 1 — e.g., Readiness Assessment Report (PDF, 20-30 pages) with maturity scoring, gap analysis, and prioritized roadmap]</w:t>
      </w:r>
    </w:p>
    <w:p>
      <w:pPr>
        <w:pStyle w:val="ListParagraph"/>
        <w:numPr>
          <w:ilvl w:val="0"/>
          <w:numId w:val="2"/>
        </w:numPr>
        <w:spacing w:after="60" w:before="60"/>
      </w:pPr>
      <w:r>
        <w:rPr>
          <w:rFonts w:ascii="Arial" w:cs="Arial" w:eastAsia="Arial" w:hAnsi="Arial"/>
          <w:color w:val="2A332A"/>
          <w:sz w:val="20"/>
          <w:szCs w:val="20"/>
        </w:rPr>
        <w:t xml:space="preserve">[Deliverable 2 — e.g., Governance Framework Document (editable Word) for board adoption]</w:t>
      </w:r>
    </w:p>
    <w:p>
      <w:pPr>
        <w:pStyle w:val="ListParagraph"/>
        <w:numPr>
          <w:ilvl w:val="0"/>
          <w:numId w:val="2"/>
        </w:numPr>
        <w:spacing w:after="60" w:before="60"/>
      </w:pPr>
      <w:r>
        <w:rPr>
          <w:rFonts w:ascii="Arial" w:cs="Arial" w:eastAsia="Arial" w:hAnsi="Arial"/>
          <w:color w:val="2A332A"/>
          <w:sz w:val="20"/>
          <w:szCs w:val="20"/>
        </w:rPr>
        <w:t xml:space="preserve">[Deliverable 3 — e.g., Executive Briefing Deck (PPTX) customized for board presentation]</w:t>
      </w:r>
    </w:p>
    <w:p>
      <w:pPr>
        <w:pStyle w:val="ListParagraph"/>
        <w:numPr>
          <w:ilvl w:val="0"/>
          <w:numId w:val="2"/>
        </w:numPr>
        <w:spacing w:after="60" w:before="60"/>
      </w:pPr>
      <w:r>
        <w:rPr>
          <w:rFonts w:ascii="Arial" w:cs="Arial" w:eastAsia="Arial" w:hAnsi="Arial"/>
          <w:color w:val="2A332A"/>
          <w:sz w:val="20"/>
          <w:szCs w:val="20"/>
        </w:rPr>
        <w:t xml:space="preserve">[Deliverable 4 — e.g., 6A Compass Score Report for internal benchmarking]</w:t>
      </w:r>
    </w:p>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6.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960"/>
        <w:gridCol w:w="2600"/>
      </w:tblGrid>
      <w:tr>
        <w:tc>
          <w:tcPr>
            <w:tcW w:type="dxa" w:w="180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Phase</w:t>
            </w:r>
          </w:p>
        </w:tc>
        <w:tc>
          <w:tcPr>
            <w:tcW w:type="dxa" w:w="496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Activity</w:t>
            </w:r>
          </w:p>
        </w:tc>
        <w:tc>
          <w:tcPr>
            <w:tcW w:type="dxa" w:w="260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Duration / Date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Week 1</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Kick-off, stakeholder interviews, documentation review</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[DATE RANGE]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Week 2-3</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Assessment / diagnostic / workshop delivery</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[DATE RANGE]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Week 4</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Analysis, framework design, draft report</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[DATE RANGE]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Week 5</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Client review and revision cycle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[DATE RANGE]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Week 6</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Final deliverable delivery and board briefing</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[DATE RANGE]</w:t>
            </w:r>
          </w:p>
        </w:tc>
      </w:tr>
    </w:tbl>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7.  Investment</w:t>
      </w:r>
    </w:p>
    <w:p>
      <w:pPr>
        <w:spacing w:after="80" w:before="80"/>
      </w:pPr>
      <w:r>
        <w:rPr>
          <w:rFonts w:ascii="Arial" w:cs="Arial" w:eastAsia="Arial" w:hAnsi="Arial"/>
          <w:color w:val="2A332A"/>
          <w:sz w:val="20"/>
          <w:szCs w:val="20"/>
        </w:rPr>
        <w:t xml:space="preserve">Periculum offers the following fee structure for this engagement: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Engagement Option</w:t>
            </w:r>
          </w:p>
        </w:tc>
        <w:tc>
          <w:tcPr>
            <w:tcW w:type="dxa" w:w="468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Investment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Project-Based (Full Scope)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$_______________  fixed fee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Monthly Advisory Retainer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$_______________  / month</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Executive Session (one-time)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$_______________  per session</w:t>
            </w:r>
          </w:p>
        </w:tc>
      </w:tr>
    </w:tbl>
    <w:p>
      <w:pPr>
        <w:spacing w:after="80" w:before="80"/>
      </w:pPr>
      <w:r>
        <w:t xml:space="preserve"/>
      </w:r>
    </w:p>
    <w:p>
      <w:pPr>
        <w:spacing w:after="80" w:before="80"/>
      </w:pPr>
      <w:r>
        <w:rPr>
          <w:rFonts w:ascii="Arial" w:cs="Arial" w:eastAsia="Arial" w:hAnsi="Arial"/>
          <w:color w:val="2A332A"/>
          <w:sz w:val="20"/>
          <w:szCs w:val="20"/>
        </w:rPr>
        <w:t xml:space="preserve">Payment terms: net 30 from invoice date. A 50% deposit may be required for project-based engagements at Periculum's discretion.</w:t>
      </w:r>
    </w:p>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8.  About Periculum and Sai Santhanakrishnan</w:t>
      </w:r>
    </w:p>
    <w:p>
      <w:pPr>
        <w:spacing w:after="80" w:before="80"/>
      </w:pPr>
      <w:r>
        <w:rPr>
          <w:rFonts w:ascii="Arial" w:cs="Arial" w:eastAsia="Arial" w:hAnsi="Arial"/>
          <w:color w:val="2A332A"/>
          <w:sz w:val="20"/>
          <w:szCs w:val="20"/>
        </w:rPr>
        <w:t xml:space="preserve">Periculum LLC is a boutique advisory firm focused on the governance, risk, and accountability challenges that define leadership in the AI era. We serve boards, executive teams, and growth-stage organizations across AI governance, cybersecurity risk, ESG &amp; sustainability, integrated GRC, and strategic organizational resilience.</w:t>
      </w:r>
    </w:p>
    <w:p>
      <w:pPr>
        <w:spacing w:after="80" w:before="80"/>
      </w:pPr>
      <w:r>
        <w:t xml:space="preserve"/>
      </w:r>
    </w:p>
    <w:p>
      <w:pPr>
        <w:spacing w:after="80" w:before="80"/>
      </w:pPr>
      <w:r>
        <w:rPr>
          <w:rFonts w:ascii="Arial" w:cs="Arial" w:eastAsia="Arial" w:hAnsi="Arial"/>
          <w:color w:val="2A332A"/>
          <w:sz w:val="20"/>
          <w:szCs w:val="20"/>
        </w:rPr>
        <w:t xml:space="preserve">Sai Santhanakrishnan is the Founder and Principal Advisor. He brings twenty years of experience building risk, AI governance, and compliance programs inside globally regulated financial institutions and technology enterprises — organizations where the stakes for getting governance wrong are measured in regulatory action, public trust, and billion-dollar exposure.</w:t>
      </w:r>
    </w:p>
    <w:p>
      <w:pPr>
        <w:spacing w:after="80" w:before="80"/>
      </w:pPr>
      <w:r>
        <w:t xml:space="preserve"/>
      </w:r>
    </w:p>
    <w:p>
      <w:pPr>
        <w:spacing w:after="80" w:before="80"/>
      </w:pPr>
      <w:r>
        <w:rPr>
          <w:rFonts w:ascii="Arial" w:cs="Arial" w:eastAsia="Arial" w:hAnsi="Arial"/>
          <w:color w:val="2A332A"/>
          <w:sz w:val="20"/>
          <w:szCs w:val="20"/>
        </w:rPr>
        <w:t xml:space="preserve">Areas of focus: AI governance, EU AI Act, NIST AI RMF, ISO/IEC 42001, fractional CISO/CRO, SOC 2, ISO 27001, ESG/CSRD, enterprise GRC, board advisory, reskilling strategy.</w:t>
      </w:r>
    </w:p>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9.  Terms and Conditions</w:t>
      </w:r>
    </w:p>
    <w:p>
      <w:pPr>
        <w:spacing w:after="80" w:before="80"/>
      </w:pPr>
      <w:r>
        <w:rPr>
          <w:rFonts w:ascii="Arial" w:cs="Arial" w:eastAsia="Arial" w:hAnsi="Arial"/>
          <w:color w:val="2A332A"/>
          <w:sz w:val="20"/>
          <w:szCs w:val="20"/>
        </w:rPr>
        <w:t xml:space="preserve">This proposal is subject to the terms of Periculum's Master Services Agreement. Work commences upon execution of an MSA and SOW. This proposal is valid for sixty (60) days from the proposal date. All advisory services are subject to Periculum's standard confidentiality, IP, and limitation of liability terms.</w:t>
      </w:r>
    </w:p>
    <w:p>
      <w:pPr>
        <w:spacing w:after="80" w:before="80"/>
      </w:pPr>
      <w:r>
        <w:t xml:space="preserve"/>
      </w:r>
    </w:p>
    <w:p>
      <w:pPr>
        <w:spacing w:after="80" w:before="80"/>
      </w:pPr>
      <w:r>
        <w:rPr>
          <w:rFonts w:ascii="Arial" w:cs="Arial" w:eastAsia="Arial" w:hAnsi="Arial"/>
          <w:color w:val="2A332A"/>
          <w:sz w:val="20"/>
          <w:szCs w:val="20"/>
        </w:rPr>
        <w:t xml:space="preserve">This proposal does not constitute a binding agreement. Periculum's services are advisory in nature; the Client retains responsibility for all decisions made in reliance on advisory outputs.</w:t>
      </w:r>
    </w:p>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10.  Next Steps</w:t>
      </w:r>
    </w:p>
    <w:p>
      <w:pPr>
        <w:pStyle w:val="ListParagraph"/>
        <w:numPr>
          <w:ilvl w:val="0"/>
          <w:numId w:val="2"/>
        </w:numPr>
        <w:spacing w:after="60" w:before="60"/>
      </w:pPr>
      <w:r>
        <w:rPr>
          <w:rFonts w:ascii="Arial" w:cs="Arial" w:eastAsia="Arial" w:hAnsi="Arial"/>
          <w:color w:val="2A332A"/>
          <w:sz w:val="20"/>
          <w:szCs w:val="20"/>
        </w:rPr>
        <w:t xml:space="preserve">Schedule a discovery call: connect@periculum.us or (214) 843-0129</w:t>
      </w:r>
    </w:p>
    <w:p>
      <w:pPr>
        <w:pStyle w:val="ListParagraph"/>
        <w:numPr>
          <w:ilvl w:val="0"/>
          <w:numId w:val="2"/>
        </w:numPr>
        <w:spacing w:after="60" w:before="60"/>
      </w:pPr>
      <w:r>
        <w:rPr>
          <w:rFonts w:ascii="Arial" w:cs="Arial" w:eastAsia="Arial" w:hAnsi="Arial"/>
          <w:color w:val="2A332A"/>
          <w:sz w:val="20"/>
          <w:szCs w:val="20"/>
        </w:rPr>
        <w:t xml:space="preserve">Complete the 6A Readiness Check (6 minutes, free): periculum.us</w:t>
      </w:r>
    </w:p>
    <w:p>
      <w:pPr>
        <w:pStyle w:val="ListParagraph"/>
        <w:numPr>
          <w:ilvl w:val="0"/>
          <w:numId w:val="2"/>
        </w:numPr>
        <w:spacing w:after="60" w:before="60"/>
      </w:pPr>
      <w:r>
        <w:rPr>
          <w:rFonts w:ascii="Arial" w:cs="Arial" w:eastAsia="Arial" w:hAnsi="Arial"/>
          <w:color w:val="2A332A"/>
          <w:sz w:val="20"/>
          <w:szCs w:val="20"/>
        </w:rPr>
        <w:t xml:space="preserve">Execute MSA and SOW to commence the engagement</w:t>
      </w:r>
    </w:p>
    <w:p>
      <w:pPr>
        <w:spacing w:after="80" w:before="80"/>
      </w:pPr>
      <w: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A96A" w:sz="4" w:space="4"/>
      </w:pBdr>
      <w:spacing w:after="0" w:before="120"/>
      <w:jc w:val="center"/>
    </w:pPr>
    <w:r>
      <w:rPr>
        <w:rFonts w:ascii="Arial" w:cs="Arial" w:eastAsia="Arial" w:hAnsi="Arial"/>
        <w:color w:val="666666"/>
        <w:sz w:val="16"/>
        <w:szCs w:val="16"/>
      </w:rPr>
      <w:t xml:space="preserve">Periculum LLC  ·  Plano, Texas  ·  periculum.us  ·  connect@periculum.us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A96A" w:sz="4" w:space="4"/>
      </w:pBdr>
      <w:spacing w:after="120" w:before="0"/>
    </w:pPr>
    <w:r>
      <w:rPr>
        <w:rFonts w:ascii="Arial" w:cs="Arial" w:eastAsia="Arial" w:hAnsi="Arial"/>
        <w:b/>
        <w:bCs/>
        <w:color w:val="3E5C3C"/>
        <w:sz w:val="18"/>
        <w:szCs w:val="18"/>
      </w:rPr>
      <w:t xml:space="preserve">PERICULUM LLC</w:t>
    </w:r>
    <w:r>
      <w:rPr>
        <w:rFonts w:ascii="Arial" w:cs="Arial" w:eastAsia="Arial" w:hAnsi="Arial"/>
        <w:color w:val="666666"/>
        <w:sz w:val="18"/>
        <w:szCs w:val="18"/>
      </w:rPr>
      <w:t xml:space="preserve">   ·   PROPOSAL RESPONSE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33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2026-06-19T22:53:06.374Z</dcterms:created>
  <dcterms:modified xsi:type="dcterms:W3CDTF">2026-06-19T22:53:06.374Z</dcterms:modified>
</cp:coreProperties>
</file>

<file path=docProps/custom.xml><?xml version="1.0" encoding="utf-8"?>
<Properties xmlns="http://schemas.openxmlformats.org/officeDocument/2006/custom-properties" xmlns:vt="http://schemas.openxmlformats.org/officeDocument/2006/docPropsVTypes"/>
</file>