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4E6A9" w14:textId="77777777" w:rsidR="002F12FE" w:rsidRPr="006A5854" w:rsidRDefault="002F12FE" w:rsidP="006A5854">
      <w:pPr>
        <w:jc w:val="center"/>
        <w:rPr>
          <w:b/>
          <w:bCs/>
        </w:rPr>
      </w:pPr>
      <w:r w:rsidRPr="006A5854">
        <w:rPr>
          <w:b/>
          <w:bCs/>
        </w:rPr>
        <w:t>Executive Summary</w:t>
      </w:r>
    </w:p>
    <w:p w14:paraId="4E86552B" w14:textId="77777777" w:rsidR="006A5854" w:rsidRDefault="006A5854" w:rsidP="006A5854">
      <w:pPr>
        <w:ind w:firstLine="720"/>
        <w:jc w:val="both"/>
      </w:pPr>
      <w:r w:rsidRPr="006A5854">
        <w:t xml:space="preserve">This report assesses whether a short-horizon active strategy added value over a realistic passive benchmark for a moderate-risk investor investing $1,000,000 in U.S. equities and corporate bonds. I built the passive benchmark as a balanced reference portfolio rather than a pure market tracker, using IVV, QQQ, VTV, LQD, and BND. That structure reduced dependence on large-cap growth and made the benchmark more suitable for the client’s risk profile. Over the period, the passive portfolio </w:t>
      </w:r>
      <w:proofErr w:type="gramStart"/>
      <w:r w:rsidRPr="006A5854">
        <w:t>returned</w:t>
      </w:r>
      <w:proofErr w:type="gramEnd"/>
      <w:r w:rsidRPr="006A5854">
        <w:t xml:space="preserve"> -0.47%, compared with -1.26% for IVV, with the difference coming mainly from the value and bond allocations.</w:t>
      </w:r>
    </w:p>
    <w:p w14:paraId="454CF484" w14:textId="77777777" w:rsidR="006A5854" w:rsidRDefault="006A5854" w:rsidP="006A5854">
      <w:pPr>
        <w:ind w:firstLine="720"/>
        <w:jc w:val="both"/>
      </w:pPr>
      <w:r>
        <w:t xml:space="preserve">The active portfolio held 75% in equities and 25% in short-duration investment-grade corporate bonds. Within equities, I combined AI-linked exposure through NVIDIA and Microsoft with less correlated return drivers in Eli Lilly, Texas Pacific Land, Moderna, JPMorgan, and GE. I then made three rebalancing decisions during the period: reducing NVIDIA after the Fed held rates steady, increasing Eli Lilly as a defensive growth tilt, and trimming JPMorgan in </w:t>
      </w:r>
      <w:proofErr w:type="spellStart"/>
      <w:r>
        <w:t>favour</w:t>
      </w:r>
      <w:proofErr w:type="spellEnd"/>
      <w:r>
        <w:t xml:space="preserve"> of GE to reduce rate sensitivity.</w:t>
      </w:r>
    </w:p>
    <w:p w14:paraId="645A7248" w14:textId="0C02F7DF" w:rsidR="002F12FE" w:rsidRPr="002F12FE" w:rsidRDefault="006A5854" w:rsidP="006A5854">
      <w:pPr>
        <w:ind w:firstLine="720"/>
        <w:jc w:val="both"/>
      </w:pPr>
      <w:r>
        <w:t xml:space="preserve">By Week 12, the active portfolio had risen to $1,087,044, a total return of 8.70%, while IVV finished at $987,425 and the passive portfolio at $995,343. This outperformance was not driven by higher market beta. The active portfolio’s beta versus IVV was 0.23, compared with 0.67 for the passive benchmark. The result came mainly from security selection and covariance structure, with TPL contributing about 7.13 percentage points and MRNA about 4.49, while maximum drawdown remained contained at -2.18%. </w:t>
      </w:r>
      <w:r w:rsidR="002F12FE" w:rsidRPr="002F12FE">
        <w:t xml:space="preserve"> </w:t>
      </w:r>
    </w:p>
    <w:p w14:paraId="3374A4C5" w14:textId="77777777" w:rsidR="00094E24" w:rsidRDefault="00094E24"/>
    <w:sectPr w:rsidR="00094E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2FE"/>
    <w:rsid w:val="00094E24"/>
    <w:rsid w:val="000B31F0"/>
    <w:rsid w:val="002F12FE"/>
    <w:rsid w:val="004A7AC4"/>
    <w:rsid w:val="006260DD"/>
    <w:rsid w:val="006A5854"/>
    <w:rsid w:val="007A45D9"/>
    <w:rsid w:val="008138C8"/>
    <w:rsid w:val="00B4552D"/>
    <w:rsid w:val="00E32B4D"/>
    <w:rsid w:val="00E40813"/>
    <w:rsid w:val="00EE723B"/>
    <w:rsid w:val="00FD7E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A921"/>
  <w15:chartTrackingRefBased/>
  <w15:docId w15:val="{527AC4BD-3EDB-4D4A-85DD-1ED90CD3D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854"/>
    <w:pPr>
      <w:spacing w:line="480" w:lineRule="auto"/>
    </w:pPr>
    <w:rPr>
      <w:rFonts w:ascii="Times New Roman" w:hAnsi="Times New Roman"/>
    </w:rPr>
  </w:style>
  <w:style w:type="paragraph" w:styleId="Heading1">
    <w:name w:val="heading 1"/>
    <w:basedOn w:val="Normal"/>
    <w:next w:val="Normal"/>
    <w:link w:val="Heading1Char"/>
    <w:uiPriority w:val="9"/>
    <w:qFormat/>
    <w:rsid w:val="002F12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2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2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2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2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2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2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2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2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2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2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2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2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2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2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2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2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2FE"/>
    <w:rPr>
      <w:rFonts w:eastAsiaTheme="majorEastAsia" w:cstheme="majorBidi"/>
      <w:color w:val="272727" w:themeColor="text1" w:themeTint="D8"/>
    </w:rPr>
  </w:style>
  <w:style w:type="paragraph" w:styleId="Title">
    <w:name w:val="Title"/>
    <w:basedOn w:val="Normal"/>
    <w:next w:val="Normal"/>
    <w:link w:val="TitleChar"/>
    <w:uiPriority w:val="10"/>
    <w:qFormat/>
    <w:rsid w:val="002F12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2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2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2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2FE"/>
    <w:pPr>
      <w:spacing w:before="160"/>
      <w:jc w:val="center"/>
    </w:pPr>
    <w:rPr>
      <w:i/>
      <w:iCs/>
      <w:color w:val="404040" w:themeColor="text1" w:themeTint="BF"/>
    </w:rPr>
  </w:style>
  <w:style w:type="character" w:customStyle="1" w:styleId="QuoteChar">
    <w:name w:val="Quote Char"/>
    <w:basedOn w:val="DefaultParagraphFont"/>
    <w:link w:val="Quote"/>
    <w:uiPriority w:val="29"/>
    <w:rsid w:val="002F12FE"/>
    <w:rPr>
      <w:i/>
      <w:iCs/>
      <w:color w:val="404040" w:themeColor="text1" w:themeTint="BF"/>
    </w:rPr>
  </w:style>
  <w:style w:type="paragraph" w:styleId="ListParagraph">
    <w:name w:val="List Paragraph"/>
    <w:basedOn w:val="Normal"/>
    <w:uiPriority w:val="34"/>
    <w:qFormat/>
    <w:rsid w:val="002F12FE"/>
    <w:pPr>
      <w:ind w:left="720"/>
      <w:contextualSpacing/>
    </w:pPr>
  </w:style>
  <w:style w:type="character" w:styleId="IntenseEmphasis">
    <w:name w:val="Intense Emphasis"/>
    <w:basedOn w:val="DefaultParagraphFont"/>
    <w:uiPriority w:val="21"/>
    <w:qFormat/>
    <w:rsid w:val="002F12FE"/>
    <w:rPr>
      <w:i/>
      <w:iCs/>
      <w:color w:val="2F5496" w:themeColor="accent1" w:themeShade="BF"/>
    </w:rPr>
  </w:style>
  <w:style w:type="paragraph" w:styleId="IntenseQuote">
    <w:name w:val="Intense Quote"/>
    <w:basedOn w:val="Normal"/>
    <w:next w:val="Normal"/>
    <w:link w:val="IntenseQuoteChar"/>
    <w:uiPriority w:val="30"/>
    <w:qFormat/>
    <w:rsid w:val="002F12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2FE"/>
    <w:rPr>
      <w:i/>
      <w:iCs/>
      <w:color w:val="2F5496" w:themeColor="accent1" w:themeShade="BF"/>
    </w:rPr>
  </w:style>
  <w:style w:type="character" w:styleId="IntenseReference">
    <w:name w:val="Intense Reference"/>
    <w:basedOn w:val="DefaultParagraphFont"/>
    <w:uiPriority w:val="32"/>
    <w:qFormat/>
    <w:rsid w:val="002F12FE"/>
    <w:rPr>
      <w:b/>
      <w:bCs/>
      <w:smallCaps/>
      <w:color w:val="2F5496" w:themeColor="accent1" w:themeShade="BF"/>
      <w:spacing w:val="5"/>
    </w:rPr>
  </w:style>
  <w:style w:type="paragraph" w:styleId="NormalWeb">
    <w:name w:val="Normal (Web)"/>
    <w:basedOn w:val="Normal"/>
    <w:uiPriority w:val="99"/>
    <w:semiHidden/>
    <w:unhideWhenUsed/>
    <w:rsid w:val="006A5854"/>
    <w:pPr>
      <w:spacing w:before="100" w:beforeAutospacing="1" w:after="100" w:afterAutospacing="1" w:line="240" w:lineRule="auto"/>
    </w:pPr>
    <w:rPr>
      <w:rFonts w:eastAsia="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243</Words>
  <Characters>1389</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Muisyo</dc:creator>
  <cp:keywords/>
  <dc:description/>
  <cp:lastModifiedBy>James Muisyo</cp:lastModifiedBy>
  <cp:revision>1</cp:revision>
  <dcterms:created xsi:type="dcterms:W3CDTF">2026-04-19T19:10:00Z</dcterms:created>
  <dcterms:modified xsi:type="dcterms:W3CDTF">2026-04-19T19:30:00Z</dcterms:modified>
</cp:coreProperties>
</file>