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Identifying</w:t>
      </w:r>
      <w:r>
        <w:t xml:space="preserve"> </w:t>
      </w:r>
      <w:r>
        <w:t xml:space="preserve">differentially</w:t>
      </w:r>
      <w:r>
        <w:t xml:space="preserve"> </w:t>
      </w:r>
      <w:r>
        <w:t xml:space="preserve">methylated</w:t>
      </w:r>
      <w:r>
        <w:t xml:space="preserve"> </w:t>
      </w:r>
      <w:r>
        <w:t xml:space="preserve">regions</w:t>
      </w:r>
      <w:r>
        <w:t xml:space="preserve"> </w:t>
      </w:r>
      <w:r>
        <w:t xml:space="preserve">using</w:t>
      </w:r>
      <w:r>
        <w:t xml:space="preserve"> </w:t>
      </w:r>
      <w:r>
        <w:t xml:space="preserve">dmrff</w:t>
      </w:r>
    </w:p>
    <w:p>
      <w:pPr>
        <w:pStyle w:val="Heading2"/>
      </w:pPr>
      <w:bookmarkStart w:id="21" w:name="download-and-prepare-and-prepare-an-example-dna-methylation-dataset"/>
      <w:bookmarkEnd w:id="21"/>
      <w:r>
        <w:t xml:space="preserve">Download and prepare and prepare an example DNA methylation dataset</w:t>
      </w:r>
    </w:p>
    <w:p>
      <w:pPr>
        <w:pStyle w:val="FirstParagraph"/>
      </w:pPr>
      <w:r>
        <w:t xml:space="preserve">We’ll use a small cord blood DNA methylation dataset</w:t>
      </w:r>
      <w:r>
        <w:t xml:space="preserve"> </w:t>
      </w:r>
      <w:r>
        <w:t xml:space="preserve">available on GEO:</w:t>
      </w:r>
      <w:r>
        <w:t xml:space="preserve"> </w:t>
      </w:r>
      <w:hyperlink r:id="rId22">
        <w:r>
          <w:rPr>
            <w:rStyle w:val="Hyperlink"/>
          </w:rPr>
          <w:t xml:space="preserve">GSE69633</w:t>
        </w:r>
      </w:hyperlink>
      <w:r>
        <w:t xml:space="preserve">.</w:t>
      </w:r>
    </w:p>
    <w:p>
      <w:pPr>
        <w:pStyle w:val="BodyText"/>
      </w:pPr>
      <w:r>
        <w:t xml:space="preserve">Download data files:</w:t>
      </w:r>
    </w:p>
    <w:p>
      <w:pPr>
        <w:pStyle w:val="SourceCode"/>
      </w:pPr>
      <w:r>
        <w:rPr>
          <w:rStyle w:val="NormalTok"/>
        </w:rPr>
        <w:t xml:space="preserve">geo.url &lt;-</w:t>
      </w:r>
      <w:r>
        <w:rPr>
          <w:rStyle w:val="StringTok"/>
        </w:rPr>
        <w:t xml:space="preserve"> "ftp://ftp.ncbi.nlm.nih.gov/geo/series"</w:t>
      </w:r>
      <w:r>
        <w:br w:type="textWrapping"/>
      </w:r>
      <w:r>
        <w:rPr>
          <w:rStyle w:val="NormalTok"/>
        </w:rPr>
        <w:t xml:space="preserve">series.file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(geo.url, </w:t>
      </w:r>
      <w:r>
        <w:rPr>
          <w:rStyle w:val="StringTok"/>
        </w:rPr>
        <w:t xml:space="preserve">"GSE69nnn/GSE69633/matrix/GSE69633_series_matrix.txt.gz"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(series.file)))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(series.file, </w:t>
      </w:r>
      <w:r>
        <w:rPr>
          <w:rStyle w:val="DataTypeTok"/>
        </w:rPr>
        <w:t xml:space="preserve">destfile=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(series.file))</w:t>
      </w:r>
      <w:r>
        <w:br w:type="textWrapping"/>
      </w:r>
      <w:r>
        <w:rPr>
          <w:rStyle w:val="NormalTok"/>
        </w:rPr>
        <w:t xml:space="preserve">data.file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(geo.url, </w:t>
      </w:r>
      <w:r>
        <w:rPr>
          <w:rStyle w:val="StringTok"/>
        </w:rPr>
        <w:t xml:space="preserve">"GSE69nnn/GSE69633/suppl/GSE69633_processed_betas_UCB_HM450K.txt.gz"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(data.file)))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(data.file, </w:t>
      </w:r>
      <w:r>
        <w:rPr>
          <w:rStyle w:val="DataTypeTok"/>
        </w:rPr>
        <w:t xml:space="preserve">destfile=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(data.file))</w:t>
      </w:r>
    </w:p>
    <w:p>
      <w:pPr>
        <w:pStyle w:val="FirstParagraph"/>
      </w:pPr>
      <w:r>
        <w:t xml:space="preserve">Retrieve sample information:</w:t>
      </w:r>
    </w:p>
    <w:p>
      <w:pPr>
        <w:pStyle w:val="SourceCode"/>
      </w:pP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gzfile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(series.file)))</w:t>
      </w:r>
      <w:r>
        <w:br w:type="textWrapping"/>
      </w:r>
      <w:r>
        <w:rPr>
          <w:rStyle w:val="NormalTok"/>
        </w:rPr>
        <w:t xml:space="preserve">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"Sample_title"</w:t>
      </w:r>
      <w:r>
        <w:rPr>
          <w:rStyle w:val="NormalTok"/>
        </w:rPr>
        <w:t xml:space="preserve">, samples)</w:t>
      </w:r>
      <w:r>
        <w:br w:type="textWrapping"/>
      </w:r>
      <w:r>
        <w:rPr>
          <w:rStyle w:val="NormalTok"/>
        </w:rPr>
        <w:t xml:space="preserve">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"series_matrix_table_begin"</w:t>
      </w:r>
      <w:r>
        <w:rPr>
          <w:rStyle w:val="NormalTok"/>
        </w:rPr>
        <w:t xml:space="preserve">, samples)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(samples[start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end]),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(samples)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(samples)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"!Sample_"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samples[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(samples[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samples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"^[^(]+</w:t>
      </w:r>
      <w:r>
        <w:rPr>
          <w:rStyle w:val="CharTok"/>
        </w:rPr>
        <w:t xml:space="preserve">\\</w:t>
      </w:r>
      <w:r>
        <w:rPr>
          <w:rStyle w:val="StringTok"/>
        </w:rPr>
        <w:t xml:space="preserve">((.*)</w:t>
      </w:r>
      <w:r>
        <w:rPr>
          <w:rStyle w:val="CharTok"/>
        </w:rPr>
        <w:t xml:space="preserve">\\</w:t>
      </w:r>
      <w:r>
        <w:rPr>
          <w:rStyle w:val="StringTok"/>
        </w:rPr>
        <w:t xml:space="preserve">)$"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 samples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</w:t>
      </w:r>
    </w:p>
    <w:p>
      <w:pPr>
        <w:pStyle w:val="FirstParagraph"/>
      </w:pPr>
      <w:r>
        <w:t xml:space="preserve">Format sample characteristics:</w:t>
      </w:r>
    </w:p>
    <w:p>
      <w:pPr>
        <w:pStyle w:val="SourceCode"/>
      </w:pPr>
      <w:r>
        <w:rPr>
          <w:rStyle w:val="NormalTok"/>
        </w:rPr>
        <w:t xml:space="preserve">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(samples)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"characteristics_ch1"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characteristics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samples[,idx]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(characteristics)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"([^:]+):.*"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 characteristics[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(characteristics)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geo_accession</w:t>
      </w:r>
      <w:r>
        <w:br w:type="textWrapping"/>
      </w:r>
      <w:r>
        <w:rPr>
          <w:rStyle w:val="NormalTok"/>
        </w:rPr>
        <w:t xml:space="preserve">characteristics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(characteristics,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"[^:]+: (.*)"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 x))</w:t>
      </w:r>
      <w:r>
        <w:br w:type="textWrapping"/>
      </w:r>
      <w:r>
        <w:rPr>
          <w:rStyle w:val="NormalTok"/>
        </w:rPr>
        <w:t xml:space="preserve">characteristics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(characteristics,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"socioeconomic 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"gestational 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"birth 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"pbconc (ng/dl)"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characteristics[[name]]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(characteristics[[name]])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(characteristics)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(characteristics))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(characteristics)[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"pbconc"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(characteristics))] &lt;-</w:t>
      </w:r>
      <w:r>
        <w:rPr>
          <w:rStyle w:val="StringTok"/>
        </w:rPr>
        <w:t xml:space="preserve"> "pbconc"</w:t>
      </w:r>
    </w:p>
    <w:p>
      <w:pPr>
        <w:pStyle w:val="FirstParagraph"/>
      </w:pPr>
      <w:r>
        <w:t xml:space="preserve">Load DNA methylation data.</w:t>
      </w:r>
    </w:p>
    <w:p>
      <w:pPr>
        <w:pStyle w:val="SourceCode"/>
      </w:pPr>
      <w:r>
        <w:rPr>
          <w:rStyle w:val="NormalTok"/>
        </w:rPr>
        <w:t xml:space="preserve">meth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gzfile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(data.file)),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meth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meth[,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"Detection.Pval"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(meth))]</w:t>
      </w:r>
      <w:r>
        <w:br w:type="textWrapping"/>
      </w:r>
      <w:r>
        <w:rPr>
          <w:rStyle w:val="NormalTok"/>
        </w:rPr>
        <w:t xml:space="preserve">meth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(meth)</w:t>
      </w:r>
    </w:p>
    <w:p>
      <w:pPr>
        <w:pStyle w:val="FirstParagraph"/>
      </w:pPr>
      <w:r>
        <w:t xml:space="preserve">Match between samples in</w:t>
      </w:r>
      <w:r>
        <w:t xml:space="preserve"> </w:t>
      </w:r>
      <w:r>
        <w:rPr>
          <w:rStyle w:val="VerbatimChar"/>
        </w:rPr>
        <w:t xml:space="preserve">samples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characteristics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meth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(meth),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samples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id)))</w:t>
      </w:r>
      <w:r>
        <w:br w:type="textWrapping"/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samples[idx,]</w:t>
      </w:r>
      <w:r>
        <w:br w:type="textWrapping"/>
      </w:r>
      <w:r>
        <w:rPr>
          <w:rStyle w:val="NormalTok"/>
        </w:rPr>
        <w:t xml:space="preserve">characteristics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characteristics[idx,]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(characteristics)</w:t>
      </w:r>
    </w:p>
    <w:p>
      <w:pPr>
        <w:pStyle w:val="Heading2"/>
      </w:pPr>
      <w:bookmarkStart w:id="23" w:name="test-dna-methylation-associations"/>
      <w:bookmarkEnd w:id="23"/>
      <w:r>
        <w:t xml:space="preserve">Test DNA methylation associations</w:t>
      </w:r>
    </w:p>
    <w:p>
      <w:pPr>
        <w:pStyle w:val="FirstParagraph"/>
      </w:pPr>
      <w:r>
        <w:t xml:space="preserve">Prepare surrogate variables to handle unknown confounding.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(sva)</w:t>
      </w:r>
    </w:p>
    <w:p>
      <w:pPr>
        <w:pStyle w:val="SourceCode"/>
      </w:pP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socioeconomic.score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gestational.age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smoke.ever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birth.weight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pbconc, characteristics)</w:t>
      </w:r>
      <w:r>
        <w:br w:type="textWrapping"/>
      </w:r>
      <w:r>
        <w:rPr>
          <w:rStyle w:val="NormalTok"/>
        </w:rPr>
        <w:t xml:space="preserve">mod0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20190410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random.idx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(meth),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sva.fit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sva</w:t>
      </w:r>
      <w:r>
        <w:rPr>
          <w:rStyle w:val="NormalTok"/>
        </w:rPr>
        <w:t xml:space="preserve">(meth[random.idx,], </w:t>
      </w:r>
      <w:r>
        <w:rPr>
          <w:rStyle w:val="DataTypeTok"/>
        </w:rPr>
        <w:t xml:space="preserve">mod=</w:t>
      </w:r>
      <w:r>
        <w:rPr>
          <w:rStyle w:val="NormalTok"/>
        </w:rPr>
        <w:t xml:space="preserve">mod, </w:t>
      </w:r>
      <w:r>
        <w:rPr>
          <w:rStyle w:val="DataTypeTok"/>
        </w:rPr>
        <w:t xml:space="preserve">mod0=</w:t>
      </w:r>
      <w:r>
        <w:rPr>
          <w:rStyle w:val="NormalTok"/>
        </w:rPr>
        <w:t xml:space="preserve">mod0)</w:t>
      </w:r>
    </w:p>
    <w:p>
      <w:pPr>
        <w:pStyle w:val="SourceCode"/>
      </w:pPr>
      <w:r>
        <w:rPr>
          <w:rStyle w:val="VerbatimChar"/>
        </w:rPr>
        <w:t xml:space="preserve">## Number of significant surrogate variables is:  13 </w:t>
      </w:r>
      <w:r>
        <w:br w:type="textWrapping"/>
      </w:r>
      <w:r>
        <w:rPr>
          <w:rStyle w:val="VerbatimChar"/>
        </w:rPr>
        <w:t xml:space="preserve">## Iteration (out of 5 ):1  2  3  4  5</w:t>
      </w:r>
    </w:p>
    <w:p>
      <w:pPr>
        <w:pStyle w:val="FirstParagraph"/>
      </w:pPr>
      <w:r>
        <w:t xml:space="preserve">Add surrogate variables to the model.</w:t>
      </w:r>
    </w:p>
    <w:p>
      <w:pPr>
        <w:pStyle w:val="SourceCode"/>
      </w:pPr>
      <w:r>
        <w:rPr>
          <w:rStyle w:val="NormalTok"/>
        </w:rPr>
        <w:t xml:space="preserve">design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(mod, sva.fit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sv)</w:t>
      </w:r>
    </w:p>
    <w:p>
      <w:pPr>
        <w:pStyle w:val="FirstParagraph"/>
      </w:pPr>
      <w:r>
        <w:t xml:space="preserve">Test the associations using</w:t>
      </w:r>
      <w:r>
        <w:t xml:space="preserve"> </w:t>
      </w:r>
      <w:r>
        <w:rPr>
          <w:rStyle w:val="VerbatimChar"/>
        </w:rPr>
        <w:t xml:space="preserve">limma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(limma)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lmFit</w:t>
      </w:r>
      <w:r>
        <w:rPr>
          <w:rStyle w:val="NormalTok"/>
        </w:rPr>
        <w:t xml:space="preserve">(meth, design)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eBayes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t xml:space="preserve">Save the summary statistics for gestational age.</w:t>
      </w:r>
    </w:p>
    <w:p>
      <w:pPr>
        <w:pStyle w:val="SourceCode"/>
      </w:pPr>
      <w:r>
        <w:rPr>
          <w:rStyle w:val="NormalTok"/>
        </w:rPr>
        <w:t xml:space="preserve">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estimate=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StringTok"/>
        </w:rPr>
        <w:t xml:space="preserve">"gestational.age"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se=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s2.post)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stdev.unscaled[,</w:t>
      </w:r>
      <w:r>
        <w:rPr>
          <w:rStyle w:val="StringTok"/>
        </w:rPr>
        <w:t xml:space="preserve">"gestational.age"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p.value=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p.value[,</w:t>
      </w:r>
      <w:r>
        <w:rPr>
          <w:rStyle w:val="StringTok"/>
        </w:rPr>
        <w:t xml:space="preserve">"gestational.age"</w:t>
      </w:r>
      <w:r>
        <w:rPr>
          <w:rStyle w:val="NormalTok"/>
        </w:rPr>
        <w:t xml:space="preserve">])</w:t>
      </w:r>
    </w:p>
    <w:p>
      <w:pPr>
        <w:pStyle w:val="Heading2"/>
      </w:pPr>
      <w:bookmarkStart w:id="24" w:name="add-genomic-coordinates-for-cpg-sites-illumina-beadchips"/>
      <w:bookmarkEnd w:id="24"/>
      <w:r>
        <w:t xml:space="preserve">Add genomic coordinates for CpG sites (Illumina Beadchips)</w:t>
      </w:r>
    </w:p>
    <w:p>
      <w:pPr>
        <w:pStyle w:val="FirstParagraph"/>
      </w:pPr>
      <w:r>
        <w:rPr>
          <w:rStyle w:val="VerbatimChar"/>
        </w:rPr>
        <w:t xml:space="preserve">dmrff</w:t>
      </w:r>
      <w:r>
        <w:t xml:space="preserve"> </w:t>
      </w:r>
      <w:r>
        <w:t xml:space="preserve">and all other methods for identifying differentially methylated regions</w:t>
      </w:r>
      <w:r>
        <w:t xml:space="preserve"> </w:t>
      </w:r>
      <w:r>
        <w:t xml:space="preserve">require information about the genomic locations of all CpG sites.</w:t>
      </w:r>
    </w:p>
    <w:p>
      <w:pPr>
        <w:pStyle w:val="BodyText"/>
      </w:pPr>
      <w:r>
        <w:t xml:space="preserve">If your data was generated using one of the Illumina BeadChips, then it is possible</w:t>
      </w:r>
      <w:r>
        <w:t xml:space="preserve"> </w:t>
      </w:r>
      <w:r>
        <w:t xml:space="preserve">to annotate your EWAS summary statistics using the appropriate</w:t>
      </w:r>
      <w:r>
        <w:t xml:space="preserve"> </w:t>
      </w:r>
      <w:hyperlink r:id="rId25">
        <w:r>
          <w:rPr>
            <w:rStyle w:val="Hyperlink"/>
          </w:rPr>
          <w:t xml:space="preserve">Bioconductor</w:t>
        </w:r>
      </w:hyperlink>
      <w:r>
        <w:t xml:space="preserve"> </w:t>
      </w:r>
      <w:r>
        <w:t xml:space="preserve">annotation package.</w:t>
      </w:r>
    </w:p>
    <w:p>
      <w:pPr>
        <w:pStyle w:val="BodyText"/>
      </w:pPr>
      <w:r>
        <w:t xml:space="preserve">For the Illumina 450K microaray, we use the</w:t>
      </w:r>
      <w:r>
        <w:t xml:space="preserve"> </w:t>
      </w:r>
      <w:r>
        <w:rPr>
          <w:rStyle w:val="VerbatimChar"/>
        </w:rPr>
        <w:t xml:space="preserve">IlluminaHumanMethylation450kanno.ilmn12.hg19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(IlluminaHumanMethylation450kanno.ilmn12.hg19))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BiocManager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"IlluminaHumanMethylation450kanno.ilmn12.hg19"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(IlluminaHumanMethylation450kanno.ilmn12.hg19)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If we were using the more recent Illumina MethylationEPIC BeadChip,</w:t>
      </w:r>
      <w:r>
        <w:t xml:space="preserve"> </w:t>
      </w:r>
      <w:r>
        <w:t xml:space="preserve">then we would load the</w:t>
      </w:r>
      <w:r>
        <w:t xml:space="preserve"> </w:t>
      </w:r>
      <w:r>
        <w:rPr>
          <w:rStyle w:val="VerbatimChar"/>
        </w:rPr>
        <w:t xml:space="preserve">IlluminaHumanMethylationEPICanno.ilm10b2.hg19</w:t>
      </w:r>
      <w:r>
        <w:t xml:space="preserve"> </w:t>
      </w:r>
      <w:r>
        <w:t xml:space="preserve">package instead.</w:t>
      </w:r>
    </w:p>
    <w:p>
      <w:pPr>
        <w:pStyle w:val="BodyText"/>
      </w:pPr>
      <w:r>
        <w:t xml:space="preserve">We construct an annotation data frame as follows: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StringTok"/>
        </w:rPr>
        <w:t xml:space="preserve">"IlluminaHumanMethylation450kanno.ilmn12.hg19"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(Locations)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(Other)</w:t>
      </w:r>
      <w:r>
        <w:br w:type="textWrapping"/>
      </w:r>
      <w:r>
        <w:rPr>
          <w:rStyle w:val="NormalTok"/>
        </w:rPr>
        <w:t xml:space="preserve">annotation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(Locations),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(Other))</w:t>
      </w:r>
    </w:p>
    <w:p>
      <w:pPr>
        <w:pStyle w:val="FirstParagraph"/>
      </w:pPr>
      <w:r>
        <w:t xml:space="preserve">We then add the annotation to the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object</w:t>
      </w:r>
      <w:r>
        <w:t xml:space="preserve"> </w:t>
      </w:r>
      <w:r>
        <w:t xml:space="preserve">(</w:t>
      </w:r>
      <w:r>
        <w:rPr>
          <w:b/>
        </w:rPr>
        <w:t xml:space="preserve">Warning</w:t>
      </w:r>
      <w:r>
        <w:t xml:space="preserve">: we assume that the row names of the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object</w:t>
      </w:r>
      <w:r>
        <w:t xml:space="preserve"> </w:t>
      </w:r>
      <w:r>
        <w:t xml:space="preserve">are the Illumina CpG site identifiers, e.g. cg05775921).</w:t>
      </w:r>
    </w:p>
    <w:p>
      <w:pPr>
        <w:pStyle w:val="SourceCode"/>
      </w:pPr>
      <w:r>
        <w:rPr>
          <w:rStyle w:val="NormalTok"/>
        </w:rPr>
        <w:t xml:space="preserve">annotation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annotation[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(stats),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(annotation)),]</w:t>
      </w:r>
      <w:r>
        <w:br w:type="textWrapping"/>
      </w:r>
      <w:r>
        <w:rPr>
          <w:rStyle w:val="NormalTok"/>
        </w:rPr>
        <w:t xml:space="preserve">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(stats, annotation)</w:t>
      </w:r>
    </w:p>
    <w:p>
      <w:pPr>
        <w:pStyle w:val="Heading2"/>
      </w:pPr>
      <w:bookmarkStart w:id="26" w:name="apply-dmrff-to-summary-statistics"/>
      <w:bookmarkEnd w:id="26"/>
      <w:r>
        <w:t xml:space="preserve">Apply</w:t>
      </w:r>
      <w:r>
        <w:t xml:space="preserve"> </w:t>
      </w:r>
      <w:r>
        <w:rPr>
          <w:rStyle w:val="VerbatimChar"/>
        </w:rPr>
        <w:t xml:space="preserve">dmrff</w:t>
      </w:r>
      <w:r>
        <w:t xml:space="preserve"> </w:t>
      </w:r>
      <w:r>
        <w:t xml:space="preserve">to summary statistics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dmrff</w:t>
      </w:r>
      <w:r>
        <w:t xml:space="preserve"> </w:t>
      </w:r>
      <w:r>
        <w:t xml:space="preserve">is not already installed, we install it and load it.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(dmrff))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"perishky/dmrff"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(dmrff)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Below we assume that you have already performed an epigenome-wide association analysis</w:t>
      </w:r>
      <w:r>
        <w:t xml:space="preserve"> </w:t>
      </w:r>
      <w:r>
        <w:t xml:space="preserve">and have loaded your summary statistics in R as a data frame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which has the following columns: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estimate</w:t>
      </w:r>
      <w:r>
        <w:t xml:space="preserve"> </w:t>
      </w:r>
      <w:r>
        <w:t xml:space="preserve">(regression coefficient),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(standard error of the coefficient),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p.value</w:t>
      </w:r>
      <w:r>
        <w:t xml:space="preserve">,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chr</w:t>
      </w:r>
      <w:r>
        <w:t xml:space="preserve"> </w:t>
      </w:r>
      <w:r>
        <w:t xml:space="preserve">(chromosome of the CpG site),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</w:t>
      </w:r>
      <w:r>
        <w:t xml:space="preserve"> </w:t>
      </w:r>
      <w:r>
        <w:t xml:space="preserve">(position of the CpG site on the chromosome).</w:t>
      </w:r>
    </w:p>
    <w:p>
      <w:pPr>
        <w:pStyle w:val="BodyText"/>
      </w:pPr>
      <w:r>
        <w:t xml:space="preserve">We also assume that you have loaded your DNA methylation dataset in R as matrix</w:t>
      </w:r>
      <w:r>
        <w:t xml:space="preserve"> </w:t>
      </w:r>
      <w:r>
        <w:rPr>
          <w:rStyle w:val="VerbatimChar"/>
        </w:rPr>
        <w:t xml:space="preserve">meth</w:t>
      </w:r>
      <w:r>
        <w:t xml:space="preserve"> </w:t>
      </w:r>
      <w:r>
        <w:t xml:space="preserve">for which rows correspond to CpG sites and columns to samples.</w:t>
      </w:r>
      <w:r>
        <w:t xml:space="preserve"> </w:t>
      </w:r>
      <w:r>
        <w:t xml:space="preserve">The DNA methylation levels are necessary for</w:t>
      </w:r>
      <w:r>
        <w:t xml:space="preserve"> </w:t>
      </w:r>
      <w:r>
        <w:rPr>
          <w:rStyle w:val="VerbatimChar"/>
        </w:rPr>
        <w:t xml:space="preserve">dmrff</w:t>
      </w:r>
      <w:r>
        <w:t xml:space="preserve"> </w:t>
      </w:r>
      <w:r>
        <w:t xml:space="preserve">to calculate</w:t>
      </w:r>
      <w:r>
        <w:t xml:space="preserve"> </w:t>
      </w:r>
      <w:r>
        <w:t xml:space="preserve">and adjust for dependencies between CpG sites.</w:t>
      </w:r>
    </w:p>
    <w:p>
      <w:pPr>
        <w:pStyle w:val="BodyText"/>
      </w:pPr>
      <w:r>
        <w:t xml:space="preserve">Before running</w:t>
      </w:r>
      <w:r>
        <w:t xml:space="preserve"> </w:t>
      </w:r>
      <w:r>
        <w:rPr>
          <w:rStyle w:val="VerbatimChar"/>
        </w:rPr>
        <w:t xml:space="preserve">dmrff</w:t>
      </w:r>
      <w:r>
        <w:t xml:space="preserve">, ensure that the dataset is ordered by CpG site genomic position.</w:t>
      </w:r>
    </w:p>
    <w:p>
      <w:pPr>
        <w:pStyle w:val="SourceCode"/>
      </w:pPr>
      <w:r>
        <w:rPr>
          <w:rStyle w:val="NormalTok"/>
        </w:rPr>
        <w:t xml:space="preserve">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chr, 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pos)</w:t>
      </w:r>
      <w:r>
        <w:br w:type="textWrapping"/>
      </w:r>
      <w:r>
        <w:rPr>
          <w:rStyle w:val="NormalTok"/>
        </w:rPr>
        <w:t xml:space="preserve">stats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stats[idx,]</w:t>
      </w:r>
      <w:r>
        <w:br w:type="textWrapping"/>
      </w:r>
      <w:r>
        <w:rPr>
          <w:rStyle w:val="NormalTok"/>
        </w:rPr>
        <w:t xml:space="preserve">meth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meth[idx,]</w:t>
      </w:r>
    </w:p>
    <w:p>
      <w:pPr>
        <w:pStyle w:val="FirstParagraph"/>
      </w:pPr>
      <w:r>
        <w:rPr>
          <w:rStyle w:val="VerbatimChar"/>
        </w:rPr>
        <w:t xml:space="preserve">dmrff</w:t>
      </w:r>
      <w:r>
        <w:t xml:space="preserve"> </w:t>
      </w:r>
      <w:r>
        <w:t xml:space="preserve">can then be applied as follows.</w:t>
      </w:r>
    </w:p>
    <w:p>
      <w:pPr>
        <w:pStyle w:val="SourceCode"/>
      </w:pPr>
      <w:r>
        <w:rPr>
          <w:rStyle w:val="NormalTok"/>
        </w:rPr>
        <w:t xml:space="preserve">dmrs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dmrff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estimate=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p.value=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methylation=</w:t>
      </w:r>
      <w:r>
        <w:rPr>
          <w:rStyle w:val="NormalTok"/>
        </w:rPr>
        <w:t xml:space="preserve">meth,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chr=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chr,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pos=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maxgap=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verbose=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[dmrff.candidates] Wed Apr 10 12:11:26 2019 Found  27414  candidate bumps.</w:t>
      </w:r>
    </w:p>
    <w:p>
      <w:pPr>
        <w:pStyle w:val="FirstParagraph"/>
      </w:pPr>
      <w:r>
        <w:t xml:space="preserve">The algorithm will then identify differentially methylated regions by:</w:t>
      </w:r>
    </w:p>
    <w:p>
      <w:pPr>
        <w:pStyle w:val="Compact"/>
        <w:numPr>
          <w:numId w:val="1001"/>
          <w:ilvl w:val="0"/>
        </w:numPr>
      </w:pPr>
      <w:r>
        <w:t xml:space="preserve">Identifying regions composed of CpG sites with EWAS p-values &lt; 0.05 and consist direction of effect (at most 500bp between CpG sites – see</w:t>
      </w:r>
      <w:r>
        <w:t xml:space="preserve"> </w:t>
      </w:r>
      <w:r>
        <w:rPr>
          <w:rStyle w:val="VerbatimChar"/>
        </w:rPr>
        <w:t xml:space="preserve">maxgap</w:t>
      </w:r>
      <w:r>
        <w:t xml:space="preserve"> </w:t>
      </w:r>
      <w:r>
        <w:t xml:space="preserve">parameter).</w:t>
      </w:r>
    </w:p>
    <w:p>
      <w:pPr>
        <w:pStyle w:val="Compact"/>
        <w:numPr>
          <w:numId w:val="1001"/>
          <w:ilvl w:val="0"/>
        </w:numPr>
      </w:pPr>
      <w:r>
        <w:t xml:space="preserve">Meta-analysing EWAS statistics within each region as well as sub-regions to identify the sub-region with lowest meta-analysed p-value.</w:t>
      </w:r>
    </w:p>
    <w:p>
      <w:pPr>
        <w:pStyle w:val="Compact"/>
        <w:numPr>
          <w:numId w:val="1001"/>
          <w:ilvl w:val="0"/>
        </w:numPr>
      </w:pPr>
      <w:r>
        <w:t xml:space="preserve">Adjusting meta-analysed p-values for multiple tests (all EWAS tests + sub-region meta-analysis tests).</w:t>
      </w:r>
    </w:p>
    <w:p>
      <w:pPr>
        <w:pStyle w:val="Compact"/>
        <w:numPr>
          <w:numId w:val="1001"/>
          <w:ilvl w:val="0"/>
        </w:numPr>
      </w:pPr>
      <w:r>
        <w:t xml:space="preserve">Finally, returning the DMR results.</w:t>
      </w:r>
    </w:p>
    <w:p>
      <w:pPr>
        <w:pStyle w:val="FirstParagraph"/>
      </w:pPr>
      <w:r>
        <w:t xml:space="preserve">Our output</w:t>
      </w:r>
      <w:r>
        <w:t xml:space="preserve"> </w:t>
      </w:r>
      <w:r>
        <w:rPr>
          <w:rStyle w:val="VerbatimChar"/>
        </w:rPr>
        <w:t xml:space="preserve">dmrs</w:t>
      </w:r>
      <w:r>
        <w:t xml:space="preserve"> </w:t>
      </w:r>
      <w:r>
        <w:t xml:space="preserve">is a data frame listing all genomic regions tested</w:t>
      </w:r>
      <w:r>
        <w:t xml:space="preserve"> </w:t>
      </w:r>
      <w:r>
        <w:t xml:space="preserve">along with summary statistics for each.</w:t>
      </w:r>
    </w:p>
    <w:p>
      <w:pPr>
        <w:pStyle w:val="BodyText"/>
      </w:pPr>
      <w:r>
        <w:t xml:space="preserve">For example, the first 10 regions might look like the following: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(dmrs[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"p.adjust"</w:t>
      </w:r>
      <w:r>
        <w:rPr>
          <w:rStyle w:val="NormalTok"/>
        </w:rPr>
        <w:t xml:space="preserve">)])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p.adjust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chr6</w:t>
            </w:r>
          </w:p>
        </w:tc>
        <w:tc>
          <w:p>
            <w:pPr>
              <w:pStyle w:val="Compact"/>
              <w:jc w:val="right"/>
            </w:pPr>
            <w:r>
              <w:t xml:space="preserve">31744831</w:t>
            </w:r>
          </w:p>
        </w:tc>
        <w:tc>
          <w:p>
            <w:pPr>
              <w:pStyle w:val="Compact"/>
              <w:jc w:val="right"/>
            </w:pPr>
            <w:r>
              <w:t xml:space="preserve">31744927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-0.0052637</w:t>
            </w:r>
          </w:p>
        </w:tc>
        <w:tc>
          <w:p>
            <w:pPr>
              <w:pStyle w:val="Compact"/>
              <w:jc w:val="right"/>
            </w:pPr>
            <w:r>
              <w:t xml:space="preserve">0.0011350</w:t>
            </w:r>
          </w:p>
        </w:tc>
        <w:tc>
          <w:p>
            <w:pPr>
              <w:pStyle w:val="Compact"/>
              <w:jc w:val="right"/>
            </w:pPr>
            <w:r>
              <w:t xml:space="preserve">-4.6378024</w:t>
            </w:r>
          </w:p>
        </w:tc>
        <w:tc>
          <w:p>
            <w:pPr>
              <w:pStyle w:val="Compact"/>
              <w:jc w:val="right"/>
            </w:pPr>
            <w:r>
              <w:t xml:space="preserve">0.0000035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chr6</w:t>
            </w:r>
          </w:p>
        </w:tc>
        <w:tc>
          <w:p>
            <w:pPr>
              <w:pStyle w:val="Compact"/>
              <w:jc w:val="right"/>
            </w:pPr>
            <w:r>
              <w:t xml:space="preserve">31744636</w:t>
            </w:r>
          </w:p>
        </w:tc>
        <w:tc>
          <w:p>
            <w:pPr>
              <w:pStyle w:val="Compact"/>
              <w:jc w:val="right"/>
            </w:pPr>
            <w:r>
              <w:t xml:space="preserve">31744636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-0.0132362</w:t>
            </w:r>
          </w:p>
        </w:tc>
        <w:tc>
          <w:p>
            <w:pPr>
              <w:pStyle w:val="Compact"/>
              <w:jc w:val="right"/>
            </w:pPr>
            <w:r>
              <w:t xml:space="preserve">0.0037004</w:t>
            </w:r>
          </w:p>
        </w:tc>
        <w:tc>
          <w:p>
            <w:pPr>
              <w:pStyle w:val="Compact"/>
              <w:jc w:val="right"/>
            </w:pPr>
            <w:r>
              <w:t xml:space="preserve">-3.5769566</w:t>
            </w:r>
          </w:p>
        </w:tc>
        <w:tc>
          <w:p>
            <w:pPr>
              <w:pStyle w:val="Compact"/>
              <w:jc w:val="right"/>
            </w:pPr>
            <w:r>
              <w:t xml:space="preserve">0.0003476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chr6</w:t>
            </w:r>
          </w:p>
        </w:tc>
        <w:tc>
          <w:p>
            <w:pPr>
              <w:pStyle w:val="Compact"/>
              <w:jc w:val="right"/>
            </w:pPr>
            <w:r>
              <w:t xml:space="preserve">31744612</w:t>
            </w:r>
          </w:p>
        </w:tc>
        <w:tc>
          <w:p>
            <w:pPr>
              <w:pStyle w:val="Compact"/>
              <w:jc w:val="right"/>
            </w:pPr>
            <w:r>
              <w:t xml:space="preserve">31744612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-0.0150106</w:t>
            </w:r>
          </w:p>
        </w:tc>
        <w:tc>
          <w:p>
            <w:pPr>
              <w:pStyle w:val="Compact"/>
              <w:jc w:val="right"/>
            </w:pPr>
            <w:r>
              <w:t xml:space="preserve">0.0044921</w:t>
            </w:r>
          </w:p>
        </w:tc>
        <w:tc>
          <w:p>
            <w:pPr>
              <w:pStyle w:val="Compact"/>
              <w:jc w:val="right"/>
            </w:pPr>
            <w:r>
              <w:t xml:space="preserve">-3.3415449</w:t>
            </w:r>
          </w:p>
        </w:tc>
        <w:tc>
          <w:p>
            <w:pPr>
              <w:pStyle w:val="Compact"/>
              <w:jc w:val="right"/>
            </w:pPr>
            <w:r>
              <w:t xml:space="preserve">0.0008331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chr6</w:t>
            </w:r>
          </w:p>
        </w:tc>
        <w:tc>
          <w:p>
            <w:pPr>
              <w:pStyle w:val="Compact"/>
              <w:jc w:val="right"/>
            </w:pPr>
            <w:r>
              <w:t xml:space="preserve">31744391</w:t>
            </w:r>
          </w:p>
        </w:tc>
        <w:tc>
          <w:p>
            <w:pPr>
              <w:pStyle w:val="Compact"/>
              <w:jc w:val="right"/>
            </w:pPr>
            <w:r>
              <w:t xml:space="preserve">31744391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-0.0098522</w:t>
            </w:r>
          </w:p>
        </w:tc>
        <w:tc>
          <w:p>
            <w:pPr>
              <w:pStyle w:val="Compact"/>
              <w:jc w:val="right"/>
            </w:pPr>
            <w:r>
              <w:t xml:space="preserve">0.0029805</w:t>
            </w:r>
          </w:p>
        </w:tc>
        <w:tc>
          <w:p>
            <w:pPr>
              <w:pStyle w:val="Compact"/>
              <w:jc w:val="right"/>
            </w:pPr>
            <w:r>
              <w:t xml:space="preserve">-3.3055030</w:t>
            </w:r>
          </w:p>
        </w:tc>
        <w:tc>
          <w:p>
            <w:pPr>
              <w:pStyle w:val="Compact"/>
              <w:jc w:val="right"/>
            </w:pPr>
            <w:r>
              <w:t xml:space="preserve">0.0009481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chr6</w:t>
            </w:r>
          </w:p>
        </w:tc>
        <w:tc>
          <w:p>
            <w:pPr>
              <w:pStyle w:val="Compact"/>
              <w:jc w:val="right"/>
            </w:pPr>
            <w:r>
              <w:t xml:space="preserve">31743769</w:t>
            </w:r>
          </w:p>
        </w:tc>
        <w:tc>
          <w:p>
            <w:pPr>
              <w:pStyle w:val="Compact"/>
              <w:jc w:val="right"/>
            </w:pPr>
            <w:r>
              <w:t xml:space="preserve">31743952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-0.0028035</w:t>
            </w:r>
          </w:p>
        </w:tc>
        <w:tc>
          <w:p>
            <w:pPr>
              <w:pStyle w:val="Compact"/>
              <w:jc w:val="right"/>
            </w:pPr>
            <w:r>
              <w:t xml:space="preserve">0.0009087</w:t>
            </w:r>
          </w:p>
        </w:tc>
        <w:tc>
          <w:p>
            <w:pPr>
              <w:pStyle w:val="Compact"/>
              <w:jc w:val="right"/>
            </w:pPr>
            <w:r>
              <w:t xml:space="preserve">-3.0852055</w:t>
            </w:r>
          </w:p>
        </w:tc>
        <w:tc>
          <w:p>
            <w:pPr>
              <w:pStyle w:val="Compact"/>
              <w:jc w:val="right"/>
            </w:pPr>
            <w:r>
              <w:t xml:space="preserve">0.0020341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chr6</w:t>
            </w:r>
          </w:p>
        </w:tc>
        <w:tc>
          <w:p>
            <w:pPr>
              <w:pStyle w:val="Compact"/>
              <w:jc w:val="right"/>
            </w:pPr>
            <w:r>
              <w:t xml:space="preserve">31744037</w:t>
            </w:r>
          </w:p>
        </w:tc>
        <w:tc>
          <w:p>
            <w:pPr>
              <w:pStyle w:val="Compact"/>
              <w:jc w:val="right"/>
            </w:pPr>
            <w:r>
              <w:t xml:space="preserve">31744339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-0.0016838</w:t>
            </w:r>
          </w:p>
        </w:tc>
        <w:tc>
          <w:p>
            <w:pPr>
              <w:pStyle w:val="Compact"/>
              <w:jc w:val="right"/>
            </w:pPr>
            <w:r>
              <w:t xml:space="preserve">0.0013148</w:t>
            </w:r>
          </w:p>
        </w:tc>
        <w:tc>
          <w:p>
            <w:pPr>
              <w:pStyle w:val="Compact"/>
              <w:jc w:val="right"/>
            </w:pPr>
            <w:r>
              <w:t xml:space="preserve">-1.2806828</w:t>
            </w:r>
          </w:p>
        </w:tc>
        <w:tc>
          <w:p>
            <w:pPr>
              <w:pStyle w:val="Compact"/>
              <w:jc w:val="right"/>
            </w:pPr>
            <w:r>
              <w:t xml:space="preserve">0.2003051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chr6</w:t>
            </w:r>
          </w:p>
        </w:tc>
        <w:tc>
          <w:p>
            <w:pPr>
              <w:pStyle w:val="Compact"/>
              <w:jc w:val="right"/>
            </w:pPr>
            <w:r>
              <w:t xml:space="preserve">31744033</w:t>
            </w:r>
          </w:p>
        </w:tc>
        <w:tc>
          <w:p>
            <w:pPr>
              <w:pStyle w:val="Compact"/>
              <w:jc w:val="right"/>
            </w:pPr>
            <w:r>
              <w:t xml:space="preserve">31744033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-0.0006374</w:t>
            </w:r>
          </w:p>
        </w:tc>
        <w:tc>
          <w:p>
            <w:pPr>
              <w:pStyle w:val="Compact"/>
              <w:jc w:val="right"/>
            </w:pPr>
            <w:r>
              <w:t xml:space="preserve">0.0009404</w:t>
            </w:r>
          </w:p>
        </w:tc>
        <w:tc>
          <w:p>
            <w:pPr>
              <w:pStyle w:val="Compact"/>
              <w:jc w:val="right"/>
            </w:pPr>
            <w:r>
              <w:t xml:space="preserve">-0.6777688</w:t>
            </w:r>
          </w:p>
        </w:tc>
        <w:tc>
          <w:p>
            <w:pPr>
              <w:pStyle w:val="Compact"/>
              <w:jc w:val="right"/>
            </w:pPr>
            <w:r>
              <w:t xml:space="preserve">0.4979183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chr6</w:t>
            </w:r>
          </w:p>
        </w:tc>
        <w:tc>
          <w:p>
            <w:pPr>
              <w:pStyle w:val="Compact"/>
              <w:jc w:val="right"/>
            </w:pPr>
            <w:r>
              <w:t xml:space="preserve">31743986</w:t>
            </w:r>
          </w:p>
        </w:tc>
        <w:tc>
          <w:p>
            <w:pPr>
              <w:pStyle w:val="Compact"/>
              <w:jc w:val="right"/>
            </w:pPr>
            <w:r>
              <w:t xml:space="preserve">31743986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0.0000130</w:t>
            </w:r>
          </w:p>
        </w:tc>
        <w:tc>
          <w:p>
            <w:pPr>
              <w:pStyle w:val="Compact"/>
              <w:jc w:val="right"/>
            </w:pPr>
            <w:r>
              <w:t xml:space="preserve">0.0010535</w:t>
            </w:r>
          </w:p>
        </w:tc>
        <w:tc>
          <w:p>
            <w:pPr>
              <w:pStyle w:val="Compact"/>
              <w:jc w:val="right"/>
            </w:pPr>
            <w:r>
              <w:t xml:space="preserve">0.0122943</w:t>
            </w:r>
          </w:p>
        </w:tc>
        <w:tc>
          <w:p>
            <w:pPr>
              <w:pStyle w:val="Compact"/>
              <w:jc w:val="right"/>
            </w:pPr>
            <w:r>
              <w:t xml:space="preserve">0.9901908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chr6</w:t>
            </w:r>
          </w:p>
        </w:tc>
        <w:tc>
          <w:p>
            <w:pPr>
              <w:pStyle w:val="Compact"/>
              <w:jc w:val="right"/>
            </w:pPr>
            <w:r>
              <w:t xml:space="preserve">31744398</w:t>
            </w:r>
          </w:p>
        </w:tc>
        <w:tc>
          <w:p>
            <w:pPr>
              <w:pStyle w:val="Compact"/>
              <w:jc w:val="right"/>
            </w:pPr>
            <w:r>
              <w:t xml:space="preserve">31744524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-0.0038149</w:t>
            </w:r>
          </w:p>
        </w:tc>
        <w:tc>
          <w:p>
            <w:pPr>
              <w:pStyle w:val="Compact"/>
              <w:jc w:val="right"/>
            </w:pPr>
            <w:r>
              <w:t xml:space="preserve">0.0015648</w:t>
            </w:r>
          </w:p>
        </w:tc>
        <w:tc>
          <w:p>
            <w:pPr>
              <w:pStyle w:val="Compact"/>
              <w:jc w:val="right"/>
            </w:pPr>
            <w:r>
              <w:t xml:space="preserve">-2.4378715</w:t>
            </w:r>
          </w:p>
        </w:tc>
        <w:tc>
          <w:p>
            <w:pPr>
              <w:pStyle w:val="Compact"/>
              <w:jc w:val="right"/>
            </w:pPr>
            <w:r>
              <w:t xml:space="preserve">0.0147740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chr6</w:t>
            </w:r>
          </w:p>
        </w:tc>
        <w:tc>
          <w:p>
            <w:pPr>
              <w:pStyle w:val="Compact"/>
              <w:jc w:val="right"/>
            </w:pPr>
            <w:r>
              <w:t xml:space="preserve">31744545</w:t>
            </w:r>
          </w:p>
        </w:tc>
        <w:tc>
          <w:p>
            <w:pPr>
              <w:pStyle w:val="Compact"/>
              <w:jc w:val="right"/>
            </w:pPr>
            <w:r>
              <w:t xml:space="preserve">31744545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-0.0123068</w:t>
            </w:r>
          </w:p>
        </w:tc>
        <w:tc>
          <w:p>
            <w:pPr>
              <w:pStyle w:val="Compact"/>
              <w:jc w:val="right"/>
            </w:pPr>
            <w:r>
              <w:t xml:space="preserve">0.0051349</w:t>
            </w:r>
          </w:p>
        </w:tc>
        <w:tc>
          <w:p>
            <w:pPr>
              <w:pStyle w:val="Compact"/>
              <w:jc w:val="right"/>
            </w:pPr>
            <w:r>
              <w:t xml:space="preserve">-2.3966699</w:t>
            </w:r>
          </w:p>
        </w:tc>
        <w:tc>
          <w:p>
            <w:pPr>
              <w:pStyle w:val="Compact"/>
              <w:jc w:val="right"/>
            </w:pPr>
            <w:r>
              <w:t xml:space="preserve">0.0165448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Some regions contain only one CpG site.</w:t>
      </w:r>
      <w:r>
        <w:t xml:space="preserve"> </w:t>
      </w:r>
      <w:r>
        <w:t xml:space="preserve">EWAS is just fine for identifying associations with single CpG sites,</w:t>
      </w:r>
      <w:r>
        <w:t xml:space="preserve"> </w:t>
      </w:r>
      <w:r>
        <w:t xml:space="preserve">so we might just remove these regions from the output.</w:t>
      </w:r>
    </w:p>
    <w:p>
      <w:pPr>
        <w:pStyle w:val="SourceCode"/>
      </w:pPr>
      <w:r>
        <w:rPr>
          <w:rStyle w:val="NormalTok"/>
        </w:rPr>
        <w:t xml:space="preserve">dmrs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dmrs[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(dmrs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</w:t>
      </w:r>
    </w:p>
    <w:p>
      <w:pPr>
        <w:pStyle w:val="FirstParagraph"/>
      </w:pPr>
      <w:r>
        <w:t xml:space="preserve">1769 regions with at least 2 CpG sites were tested.</w:t>
      </w:r>
    </w:p>
    <w:p>
      <w:pPr>
        <w:pStyle w:val="BodyText"/>
      </w:pPr>
      <w:r>
        <w:t xml:space="preserve">All genomic regions with p-value &lt; 0.05 (Bonferroni adjusted for multiple tests)</w:t>
      </w:r>
      <w:r>
        <w:t xml:space="preserve"> </w:t>
      </w:r>
      <w:r>
        <w:t xml:space="preserve">can be listed as follows: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(dmrs[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(dmrs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p.adjust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"p.adjust"</w:t>
      </w:r>
      <w:r>
        <w:rPr>
          <w:rStyle w:val="NormalTok"/>
        </w:rPr>
        <w:t xml:space="preserve">)])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p.adjust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2151</w:t>
            </w:r>
          </w:p>
        </w:tc>
        <w:tc>
          <w:p>
            <w:pPr>
              <w:pStyle w:val="Compact"/>
              <w:jc w:val="left"/>
            </w:pPr>
            <w:r>
              <w:t xml:space="preserve">chr13</w:t>
            </w:r>
          </w:p>
        </w:tc>
        <w:tc>
          <w:p>
            <w:pPr>
              <w:pStyle w:val="Compact"/>
              <w:jc w:val="right"/>
            </w:pPr>
            <w:r>
              <w:t xml:space="preserve">29148952</w:t>
            </w:r>
          </w:p>
        </w:tc>
        <w:tc>
          <w:p>
            <w:pPr>
              <w:pStyle w:val="Compact"/>
              <w:jc w:val="right"/>
            </w:pPr>
            <w:r>
              <w:t xml:space="preserve">29149132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0.0085360</w:t>
            </w:r>
          </w:p>
        </w:tc>
        <w:tc>
          <w:p>
            <w:pPr>
              <w:pStyle w:val="Compact"/>
              <w:jc w:val="right"/>
            </w:pPr>
            <w:r>
              <w:t xml:space="preserve">0.0015125</w:t>
            </w:r>
          </w:p>
        </w:tc>
        <w:tc>
          <w:p>
            <w:pPr>
              <w:pStyle w:val="Compact"/>
              <w:jc w:val="right"/>
            </w:pPr>
            <w:r>
              <w:t xml:space="preserve">5.643680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0.0070554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2454</w:t>
            </w:r>
          </w:p>
        </w:tc>
        <w:tc>
          <w:p>
            <w:pPr>
              <w:pStyle w:val="Compact"/>
              <w:jc w:val="left"/>
            </w:pPr>
            <w:r>
              <w:t xml:space="preserve">chr4</w:t>
            </w:r>
          </w:p>
        </w:tc>
        <w:tc>
          <w:p>
            <w:pPr>
              <w:pStyle w:val="Compact"/>
              <w:jc w:val="right"/>
            </w:pPr>
            <w:r>
              <w:t xml:space="preserve">6695614</w:t>
            </w:r>
          </w:p>
        </w:tc>
        <w:tc>
          <w:p>
            <w:pPr>
              <w:pStyle w:val="Compact"/>
              <w:jc w:val="right"/>
            </w:pPr>
            <w:r>
              <w:t xml:space="preserve">6695698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0.0104099</w:t>
            </w:r>
          </w:p>
        </w:tc>
        <w:tc>
          <w:p>
            <w:pPr>
              <w:pStyle w:val="Compact"/>
              <w:jc w:val="right"/>
            </w:pPr>
            <w:r>
              <w:t xml:space="preserve">0.0018918</w:t>
            </w:r>
          </w:p>
        </w:tc>
        <w:tc>
          <w:p>
            <w:pPr>
              <w:pStyle w:val="Compact"/>
              <w:jc w:val="right"/>
            </w:pPr>
            <w:r>
              <w:t xml:space="preserve">5.502625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0.0158602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2812</w:t>
            </w:r>
          </w:p>
        </w:tc>
        <w:tc>
          <w:p>
            <w:pPr>
              <w:pStyle w:val="Compact"/>
              <w:jc w:val="left"/>
            </w:pPr>
            <w:r>
              <w:t xml:space="preserve">chr1</w:t>
            </w:r>
          </w:p>
        </w:tc>
        <w:tc>
          <w:p>
            <w:pPr>
              <w:pStyle w:val="Compact"/>
              <w:jc w:val="right"/>
            </w:pPr>
            <w:r>
              <w:t xml:space="preserve">67519155</w:t>
            </w:r>
          </w:p>
        </w:tc>
        <w:tc>
          <w:p>
            <w:pPr>
              <w:pStyle w:val="Compact"/>
              <w:jc w:val="right"/>
            </w:pPr>
            <w:r>
              <w:t xml:space="preserve">67519474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-0.0054861</w:t>
            </w:r>
          </w:p>
        </w:tc>
        <w:tc>
          <w:p>
            <w:pPr>
              <w:pStyle w:val="Compact"/>
              <w:jc w:val="right"/>
            </w:pPr>
            <w:r>
              <w:t xml:space="preserve">0.0009986</w:t>
            </w:r>
          </w:p>
        </w:tc>
        <w:tc>
          <w:p>
            <w:pPr>
              <w:pStyle w:val="Compact"/>
              <w:jc w:val="right"/>
            </w:pPr>
            <w:r>
              <w:t xml:space="preserve">-5.493554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0.0166972</w:t>
            </w:r>
          </w:p>
        </w:tc>
      </w:tr>
    </w:tbl>
    <w:p>
      <w:pPr>
        <w:pStyle w:val="BodyText"/>
      </w:pPr>
      <w:r>
        <w:t xml:space="preserve">We can also list the statistics for each CpG site in these regions.</w:t>
      </w:r>
    </w:p>
    <w:p>
      <w:pPr>
        <w:pStyle w:val="SourceCode"/>
      </w:pPr>
      <w:r>
        <w:rPr>
          <w:rStyle w:val="NormalTok"/>
        </w:rPr>
        <w:t xml:space="preserve">sites.idx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(dmrs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p.adjust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(dmr.idx) dmrs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start.idx[dmr.idx]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dmrs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end.idx[dmr.idx])</w:t>
      </w:r>
      <w:r>
        <w:br w:type="textWrapping"/>
      </w:r>
      <w:r>
        <w:rPr>
          <w:rStyle w:val="NormalTok"/>
        </w:rPr>
        <w:t xml:space="preserve">sites.idx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(sites.idx)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(stats[sites.idx,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"UCSC_RefGene_Name"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)])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UCSC_RefGene_Name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cg15887927</w:t>
            </w:r>
          </w:p>
        </w:tc>
        <w:tc>
          <w:p>
            <w:pPr>
              <w:pStyle w:val="Compact"/>
              <w:jc w:val="left"/>
            </w:pPr>
            <w:r>
              <w:t xml:space="preserve">chr13</w:t>
            </w:r>
          </w:p>
        </w:tc>
        <w:tc>
          <w:p>
            <w:pPr>
              <w:pStyle w:val="Compact"/>
              <w:jc w:val="right"/>
            </w:pPr>
            <w:r>
              <w:t xml:space="preserve">29148952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0.0062306</w:t>
            </w:r>
          </w:p>
        </w:tc>
        <w:tc>
          <w:p>
            <w:pPr>
              <w:pStyle w:val="Compact"/>
              <w:jc w:val="right"/>
            </w:pPr>
            <w:r>
              <w:t xml:space="preserve">0.0022104</w:t>
            </w:r>
          </w:p>
        </w:tc>
        <w:tc>
          <w:p>
            <w:pPr>
              <w:pStyle w:val="Compact"/>
              <w:jc w:val="right"/>
            </w:pPr>
            <w:r>
              <w:t xml:space="preserve">0.0087764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cg24561305</w:t>
            </w:r>
          </w:p>
        </w:tc>
        <w:tc>
          <w:p>
            <w:pPr>
              <w:pStyle w:val="Compact"/>
              <w:jc w:val="left"/>
            </w:pPr>
            <w:r>
              <w:t xml:space="preserve">chr13</w:t>
            </w:r>
          </w:p>
        </w:tc>
        <w:tc>
          <w:p>
            <w:pPr>
              <w:pStyle w:val="Compact"/>
              <w:jc w:val="right"/>
            </w:pPr>
            <w:r>
              <w:t xml:space="preserve">29149132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0.0111855</w:t>
            </w:r>
          </w:p>
        </w:tc>
        <w:tc>
          <w:p>
            <w:pPr>
              <w:pStyle w:val="Compact"/>
              <w:jc w:val="right"/>
            </w:pPr>
            <w:r>
              <w:t xml:space="preserve">0.0023987</w:t>
            </w:r>
          </w:p>
        </w:tc>
        <w:tc>
          <w:p>
            <w:pPr>
              <w:pStyle w:val="Compact"/>
              <w:jc w:val="right"/>
            </w:pPr>
            <w:r>
              <w:t xml:space="preserve">0.0000706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cg26233331</w:t>
            </w:r>
          </w:p>
        </w:tc>
        <w:tc>
          <w:p>
            <w:pPr>
              <w:pStyle w:val="Compact"/>
              <w:jc w:val="left"/>
            </w:pPr>
            <w:r>
              <w:t xml:space="preserve">chr4</w:t>
            </w:r>
          </w:p>
        </w:tc>
        <w:tc>
          <w:p>
            <w:pPr>
              <w:pStyle w:val="Compact"/>
              <w:jc w:val="right"/>
            </w:pPr>
            <w:r>
              <w:t xml:space="preserve">6695614</w:t>
            </w:r>
          </w:p>
        </w:tc>
        <w:tc>
          <w:p>
            <w:pPr>
              <w:pStyle w:val="Compact"/>
              <w:jc w:val="left"/>
            </w:pPr>
            <w:r>
              <w:t xml:space="preserve">S100P;S100P</w:t>
            </w:r>
          </w:p>
        </w:tc>
        <w:tc>
          <w:p>
            <w:pPr>
              <w:pStyle w:val="Compact"/>
              <w:jc w:val="right"/>
            </w:pPr>
            <w:r>
              <w:t xml:space="preserve">0.0092628</w:t>
            </w:r>
          </w:p>
        </w:tc>
        <w:tc>
          <w:p>
            <w:pPr>
              <w:pStyle w:val="Compact"/>
              <w:jc w:val="right"/>
            </w:pPr>
            <w:r>
              <w:t xml:space="preserve">0.0019054</w:t>
            </w:r>
          </w:p>
        </w:tc>
        <w:tc>
          <w:p>
            <w:pPr>
              <w:pStyle w:val="Compact"/>
              <w:jc w:val="right"/>
            </w:pPr>
            <w:r>
              <w:t xml:space="preserve">0.0000411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cg22266967</w:t>
            </w:r>
          </w:p>
        </w:tc>
        <w:tc>
          <w:p>
            <w:pPr>
              <w:pStyle w:val="Compact"/>
              <w:jc w:val="left"/>
            </w:pPr>
            <w:r>
              <w:t xml:space="preserve">chr4</w:t>
            </w:r>
          </w:p>
        </w:tc>
        <w:tc>
          <w:p>
            <w:pPr>
              <w:pStyle w:val="Compact"/>
              <w:jc w:val="right"/>
            </w:pPr>
            <w:r>
              <w:t xml:space="preserve">6695698</w:t>
            </w:r>
          </w:p>
        </w:tc>
        <w:tc>
          <w:p>
            <w:pPr>
              <w:pStyle w:val="Compact"/>
              <w:jc w:val="left"/>
            </w:pPr>
            <w:r>
              <w:t xml:space="preserve">S100P</w:t>
            </w:r>
          </w:p>
        </w:tc>
        <w:tc>
          <w:p>
            <w:pPr>
              <w:pStyle w:val="Compact"/>
              <w:jc w:val="right"/>
            </w:pPr>
            <w:r>
              <w:t xml:space="preserve">0.0065167</w:t>
            </w:r>
          </w:p>
        </w:tc>
        <w:tc>
          <w:p>
            <w:pPr>
              <w:pStyle w:val="Compact"/>
              <w:jc w:val="right"/>
            </w:pPr>
            <w:r>
              <w:t xml:space="preserve">0.0024427</w:t>
            </w:r>
          </w:p>
        </w:tc>
        <w:tc>
          <w:p>
            <w:pPr>
              <w:pStyle w:val="Compact"/>
              <w:jc w:val="right"/>
            </w:pPr>
            <w:r>
              <w:t xml:space="preserve">0.0125828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cg01802975</w:t>
            </w:r>
          </w:p>
        </w:tc>
        <w:tc>
          <w:p>
            <w:pPr>
              <w:pStyle w:val="Compact"/>
              <w:jc w:val="left"/>
            </w:pPr>
            <w:r>
              <w:t xml:space="preserve">chr1</w:t>
            </w:r>
          </w:p>
        </w:tc>
        <w:tc>
          <w:p>
            <w:pPr>
              <w:pStyle w:val="Compact"/>
              <w:jc w:val="right"/>
            </w:pPr>
            <w:r>
              <w:t xml:space="preserve">67519155</w:t>
            </w:r>
          </w:p>
        </w:tc>
        <w:tc>
          <w:p>
            <w:pPr>
              <w:pStyle w:val="Compact"/>
              <w:jc w:val="left"/>
            </w:pPr>
            <w:r>
              <w:t xml:space="preserve">SLC35D1</w:t>
            </w:r>
          </w:p>
        </w:tc>
        <w:tc>
          <w:p>
            <w:pPr>
              <w:pStyle w:val="Compact"/>
              <w:jc w:val="right"/>
            </w:pPr>
            <w:r>
              <w:t xml:space="preserve">-0.0054169</w:t>
            </w:r>
          </w:p>
        </w:tc>
        <w:tc>
          <w:p>
            <w:pPr>
              <w:pStyle w:val="Compact"/>
              <w:jc w:val="right"/>
            </w:pPr>
            <w:r>
              <w:t xml:space="preserve">0.0010328</w:t>
            </w:r>
          </w:p>
        </w:tc>
        <w:tc>
          <w:p>
            <w:pPr>
              <w:pStyle w:val="Compact"/>
              <w:jc w:val="right"/>
            </w:pPr>
            <w:r>
              <w:t xml:space="preserve">0.0000144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cg17930550</w:t>
            </w:r>
          </w:p>
        </w:tc>
        <w:tc>
          <w:p>
            <w:pPr>
              <w:pStyle w:val="Compact"/>
              <w:jc w:val="left"/>
            </w:pPr>
            <w:r>
              <w:t xml:space="preserve">chr1</w:t>
            </w:r>
          </w:p>
        </w:tc>
        <w:tc>
          <w:p>
            <w:pPr>
              <w:pStyle w:val="Compact"/>
              <w:jc w:val="right"/>
            </w:pPr>
            <w:r>
              <w:t xml:space="preserve">67519474</w:t>
            </w:r>
          </w:p>
        </w:tc>
        <w:tc>
          <w:p>
            <w:pPr>
              <w:pStyle w:val="Compact"/>
              <w:jc w:val="left"/>
            </w:pPr>
            <w:r>
              <w:t xml:space="preserve">SLC35D1</w:t>
            </w:r>
          </w:p>
        </w:tc>
        <w:tc>
          <w:p>
            <w:pPr>
              <w:pStyle w:val="Compact"/>
              <w:jc w:val="right"/>
            </w:pPr>
            <w:r>
              <w:t xml:space="preserve">-0.0059922</w:t>
            </w:r>
          </w:p>
        </w:tc>
        <w:tc>
          <w:p>
            <w:pPr>
              <w:pStyle w:val="Compact"/>
              <w:jc w:val="right"/>
            </w:pPr>
            <w:r>
              <w:t xml:space="preserve">0.0026819</w:t>
            </w:r>
          </w:p>
        </w:tc>
        <w:tc>
          <w:p>
            <w:pPr>
              <w:pStyle w:val="Compact"/>
              <w:jc w:val="right"/>
            </w:pPr>
            <w:r>
              <w:t xml:space="preserve">0.0336787</w:t>
            </w:r>
          </w:p>
        </w:tc>
      </w:tr>
    </w:tbl>
    <w:p>
      <w:pPr>
        <w:pStyle w:val="Heading2"/>
      </w:pPr>
      <w:bookmarkStart w:id="27" w:name="annotating-differentially-methylated-regions-illumina-beadchips"/>
      <w:bookmarkEnd w:id="27"/>
      <w:r>
        <w:t xml:space="preserve">Annotating differentially methylated regions (Illumina Beadchips)</w:t>
      </w:r>
    </w:p>
    <w:p>
      <w:pPr>
        <w:pStyle w:val="FirstParagraph"/>
      </w:pPr>
      <w:r>
        <w:t xml:space="preserve">Using the CpG site annotations described earlier, we can also</w:t>
      </w:r>
      <w:r>
        <w:t xml:space="preserve"> </w:t>
      </w:r>
      <w:r>
        <w:t xml:space="preserve">annotate differentially methylated regions.</w:t>
      </w:r>
    </w:p>
    <w:p>
      <w:pPr>
        <w:pStyle w:val="BodyText"/>
      </w:pPr>
      <w:r>
        <w:t xml:space="preserve">To save time, we will only annotate the top 50 differentially methylated regions.</w:t>
      </w:r>
    </w:p>
    <w:p>
      <w:pPr>
        <w:pStyle w:val="SourceCode"/>
      </w:pPr>
      <w:r>
        <w:rPr>
          <w:rStyle w:val="NormalTok"/>
        </w:rPr>
        <w:t xml:space="preserve">dmrs50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dmrs[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(dmrs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],]</w:t>
      </w:r>
    </w:p>
    <w:p>
      <w:pPr>
        <w:pStyle w:val="FirstParagraph"/>
      </w:pPr>
      <w:r>
        <w:t xml:space="preserve">For annotation, we will use the following function.</w:t>
      </w:r>
    </w:p>
    <w:p>
      <w:pPr>
        <w:pStyle w:val="SourceCode"/>
      </w:pPr>
      <w:r>
        <w:rPr>
          <w:rStyle w:val="NormalTok"/>
        </w:rPr>
        <w:t xml:space="preserve">annotate.regions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(dmrs, stats, package)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(package, </w:t>
      </w:r>
      <w:r>
        <w:rPr>
          <w:rStyle w:val="DataTypeTok"/>
        </w:rPr>
        <w:t xml:space="preserve">character.only=</w:t>
      </w:r>
      <w:r>
        <w:rPr>
          <w:rStyle w:val="NormalTok"/>
        </w:rPr>
        <w:t xml:space="preserve">T))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BiocManager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</w:t>
      </w:r>
      <w:r>
        <w:rPr>
          <w:rStyle w:val="NormalTok"/>
        </w:rPr>
        <w:t xml:space="preserve">(package)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(package, </w:t>
      </w:r>
      <w:r>
        <w:rPr>
          <w:rStyle w:val="DataTypeTok"/>
        </w:rPr>
        <w:t xml:space="preserve">character.only=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  }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NormalTok"/>
        </w:rPr>
        <w:t xml:space="preserve">package)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(Locations)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(Other)</w:t>
      </w:r>
      <w:r>
        <w:br w:type="textWrapping"/>
      </w:r>
      <w:r>
        <w:rPr>
          <w:rStyle w:val="NormalTok"/>
        </w:rPr>
        <w:t xml:space="preserve">    annotation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(Locations),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(Other))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(stats)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(annotation)))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annotation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annotation[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(stats),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(annotation)),]</w:t>
      </w:r>
      <w:r>
        <w:br w:type="textWrapping"/>
      </w:r>
      <w:r>
        <w:rPr>
          <w:rStyle w:val="NormalTok"/>
        </w:rPr>
        <w:t xml:space="preserve">    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(stats, annotation)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dmrs.annot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(dmrs),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(dmr.idx) {</w:t>
      </w:r>
      <w:r>
        <w:br w:type="textWrapping"/>
      </w:r>
      <w:r>
        <w:rPr>
          <w:rStyle w:val="NormalTok"/>
        </w:rPr>
        <w:t xml:space="preserve">        annotation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Forward_Sequence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annotation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SourceSeq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annotation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annotation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chr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      site.idx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dmrs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start.idx[dmr.idx]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dmrs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end.idx[dmr.idx]</w:t>
      </w:r>
      <w:r>
        <w:br w:type="textWrapping"/>
      </w:r>
      <w:r>
        <w:rPr>
          <w:rStyle w:val="NormalTok"/>
        </w:rPr>
        <w:t xml:space="preserve">        annotation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annotation[site.idx,]</w:t>
      </w:r>
      <w:r>
        <w:br w:type="textWrapping"/>
      </w:r>
      <w:r>
        <w:rPr>
          <w:rStyle w:val="NormalTok"/>
        </w:rPr>
        <w:t xml:space="preserve">        multi.idx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"UCSC_RefGene"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(annotation))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(idx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multi.idx)</w:t>
      </w:r>
      <w:r>
        <w:br w:type="textWrapping"/>
      </w:r>
      <w:r>
        <w:rPr>
          <w:rStyle w:val="NormalTok"/>
        </w:rPr>
        <w:t xml:space="preserve">            annotation[[idx]]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(annotation[[idx]],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(annotation[[multi.idx[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]]], length)</w:t>
      </w:r>
      <w:r>
        <w:br w:type="textWrapping"/>
      </w:r>
      <w:r>
        <w:rPr>
          <w:rStyle w:val="NormalTok"/>
        </w:rPr>
        <w:t xml:space="preserve">        annotation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(annotation[multi.idx], unlist),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(annotation[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multi.idx], rep, n))</w:t>
      </w:r>
      <w:r>
        <w:br w:type="textWrapping"/>
      </w:r>
      <w:r>
        <w:rPr>
          <w:rStyle w:val="NormalTok"/>
        </w:rPr>
        <w:t xml:space="preserve">        annotation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(data.frame,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(annotation,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(annotation,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})</w:t>
      </w:r>
      <w:r>
        <w:br w:type="textWrapping"/>
      </w:r>
      <w:r>
        <w:rPr>
          <w:rStyle w:val="NormalTok"/>
        </w:rPr>
        <w:t xml:space="preserve">    dmrs.annot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dmrs.annot)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(dmrs, dmrs.annot)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annotate the top 50 differentially methylated regions.</w:t>
      </w:r>
    </w:p>
    <w:p>
      <w:pPr>
        <w:pStyle w:val="SourceCode"/>
      </w:pPr>
      <w:r>
        <w:rPr>
          <w:rStyle w:val="NormalTok"/>
        </w:rPr>
        <w:t xml:space="preserve">dmrs50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annotate.regions</w:t>
      </w:r>
      <w:r>
        <w:rPr>
          <w:rStyle w:val="NormalTok"/>
        </w:rPr>
        <w:t xml:space="preserve">(dmrs50, stats, </w:t>
      </w:r>
      <w:r>
        <w:rPr>
          <w:rStyle w:val="StringTok"/>
        </w:rPr>
        <w:t xml:space="preserve">"IlluminaHumanMethylation450kanno.ilmn12.hg19"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we were using the more recent Illumina MethylationEPIC BeadChip,</w:t>
      </w:r>
      <w:r>
        <w:t xml:space="preserve"> </w:t>
      </w:r>
      <w:r>
        <w:t xml:space="preserve">then we would use the</w:t>
      </w:r>
      <w:r>
        <w:t xml:space="preserve"> </w:t>
      </w:r>
      <w:r>
        <w:rPr>
          <w:rStyle w:val="VerbatimChar"/>
        </w:rPr>
        <w:t xml:space="preserve">IlluminaHumanMethylationEPICanno.ilm10b2.hg19</w:t>
      </w:r>
      <w:r>
        <w:t xml:space="preserve"> </w:t>
      </w:r>
      <w:r>
        <w:t xml:space="preserve">package name instead.</w:t>
      </w:r>
    </w:p>
    <w:p>
      <w:pPr>
        <w:pStyle w:val="BodyText"/>
      </w:pPr>
      <w:r>
        <w:t xml:space="preserve">Here we can see the information added for the regions with</w:t>
      </w:r>
      <w:r>
        <w:t xml:space="preserve"> </w:t>
      </w:r>
      <w:r>
        <w:t xml:space="preserve">Bonferonni adjusted p-values less than 0.05.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(dmrs50[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(dmrs50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p.adjust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),])</w:t>
      </w:r>
    </w:p>
    <w:tbl>
      <w:tblPr>
        <w:tblStyle w:val="TableNormal"/>
        <w:tblW w:type="pct" w:w="4999.999999999999"/>
        <w:tblLook w:firstRow="1"/>
      </w:tblPr>
      <w:tblGrid>
        <w:gridCol w:w="120"/>
        <w:gridCol w:w="140"/>
        <w:gridCol w:w="200"/>
        <w:gridCol w:w="200"/>
        <w:gridCol w:w="80"/>
        <w:gridCol w:w="220"/>
        <w:gridCol w:w="180"/>
        <w:gridCol w:w="240"/>
        <w:gridCol w:w="200"/>
        <w:gridCol w:w="220"/>
        <w:gridCol w:w="160"/>
        <w:gridCol w:w="240"/>
        <w:gridCol w:w="220"/>
        <w:gridCol w:w="240"/>
        <w:gridCol w:w="220"/>
        <w:gridCol w:w="220"/>
        <w:gridCol w:w="180"/>
        <w:gridCol w:w="220"/>
        <w:gridCol w:w="380"/>
        <w:gridCol w:w="481"/>
        <w:gridCol w:w="401"/>
        <w:gridCol w:w="160"/>
        <w:gridCol w:w="260"/>
        <w:gridCol w:w="300"/>
        <w:gridCol w:w="561"/>
        <w:gridCol w:w="100"/>
        <w:gridCol w:w="200"/>
        <w:gridCol w:w="421"/>
        <w:gridCol w:w="501"/>
        <w:gridCol w:w="521"/>
        <w:gridCol w:w="1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start.idx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end.idx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start.orig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end.orig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z.orig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p.orig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p.adjust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UCSC_RefGene_Name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UCSC_RefGene_Accession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UCSC_RefGene_Group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Random_Loci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Methyl27_Loci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Phantom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Enhancer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HMM_Island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Regulatory_Feature_Name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Regulatory_Feature_Group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DHS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2151</w:t>
            </w:r>
          </w:p>
        </w:tc>
        <w:tc>
          <w:p>
            <w:pPr>
              <w:pStyle w:val="Compact"/>
              <w:jc w:val="left"/>
            </w:pPr>
            <w:r>
              <w:t xml:space="preserve">chr13</w:t>
            </w:r>
          </w:p>
        </w:tc>
        <w:tc>
          <w:p>
            <w:pPr>
              <w:pStyle w:val="Compact"/>
              <w:jc w:val="right"/>
            </w:pPr>
            <w:r>
              <w:t xml:space="preserve">29148952</w:t>
            </w:r>
          </w:p>
        </w:tc>
        <w:tc>
          <w:p>
            <w:pPr>
              <w:pStyle w:val="Compact"/>
              <w:jc w:val="right"/>
            </w:pPr>
            <w:r>
              <w:t xml:space="preserve">29149132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102277</w:t>
            </w:r>
          </w:p>
        </w:tc>
        <w:tc>
          <w:p>
            <w:pPr>
              <w:pStyle w:val="Compact"/>
              <w:jc w:val="right"/>
            </w:pPr>
            <w:r>
              <w:t xml:space="preserve">102278</w:t>
            </w:r>
          </w:p>
        </w:tc>
        <w:tc>
          <w:p>
            <w:pPr>
              <w:pStyle w:val="Compact"/>
              <w:jc w:val="right"/>
            </w:pPr>
            <w:r>
              <w:t xml:space="preserve">102277</w:t>
            </w:r>
          </w:p>
        </w:tc>
        <w:tc>
          <w:p>
            <w:pPr>
              <w:pStyle w:val="Compact"/>
              <w:jc w:val="right"/>
            </w:pPr>
            <w:r>
              <w:t xml:space="preserve">102278</w:t>
            </w:r>
          </w:p>
        </w:tc>
        <w:tc>
          <w:p>
            <w:pPr>
              <w:pStyle w:val="Compact"/>
              <w:jc w:val="right"/>
            </w:pPr>
            <w:r>
              <w:t xml:space="preserve">5.643680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0.0085360</w:t>
            </w:r>
          </w:p>
        </w:tc>
        <w:tc>
          <w:p>
            <w:pPr>
              <w:pStyle w:val="Compact"/>
              <w:jc w:val="right"/>
            </w:pPr>
            <w:r>
              <w:t xml:space="preserve">0.0015125</w:t>
            </w:r>
          </w:p>
        </w:tc>
        <w:tc>
          <w:p>
            <w:pPr>
              <w:pStyle w:val="Compact"/>
              <w:jc w:val="right"/>
            </w:pPr>
            <w:r>
              <w:t xml:space="preserve">0.0085360</w:t>
            </w:r>
          </w:p>
        </w:tc>
        <w:tc>
          <w:p>
            <w:pPr>
              <w:pStyle w:val="Compact"/>
              <w:jc w:val="right"/>
            </w:pPr>
            <w:r>
              <w:t xml:space="preserve">0.0015125</w:t>
            </w:r>
          </w:p>
        </w:tc>
        <w:tc>
          <w:p>
            <w:pPr>
              <w:pStyle w:val="Compact"/>
              <w:jc w:val="right"/>
            </w:pPr>
            <w:r>
              <w:t xml:space="preserve">5.643680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0.0070554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2454</w:t>
            </w:r>
          </w:p>
        </w:tc>
        <w:tc>
          <w:p>
            <w:pPr>
              <w:pStyle w:val="Compact"/>
              <w:jc w:val="left"/>
            </w:pPr>
            <w:r>
              <w:t xml:space="preserve">chr4</w:t>
            </w:r>
          </w:p>
        </w:tc>
        <w:tc>
          <w:p>
            <w:pPr>
              <w:pStyle w:val="Compact"/>
              <w:jc w:val="right"/>
            </w:pPr>
            <w:r>
              <w:t xml:space="preserve">6695614</w:t>
            </w:r>
          </w:p>
        </w:tc>
        <w:tc>
          <w:p>
            <w:pPr>
              <w:pStyle w:val="Compact"/>
              <w:jc w:val="right"/>
            </w:pPr>
            <w:r>
              <w:t xml:space="preserve">6695698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271174</w:t>
            </w:r>
          </w:p>
        </w:tc>
        <w:tc>
          <w:p>
            <w:pPr>
              <w:pStyle w:val="Compact"/>
              <w:jc w:val="right"/>
            </w:pPr>
            <w:r>
              <w:t xml:space="preserve">271175</w:t>
            </w:r>
          </w:p>
        </w:tc>
        <w:tc>
          <w:p>
            <w:pPr>
              <w:pStyle w:val="Compact"/>
              <w:jc w:val="right"/>
            </w:pPr>
            <w:r>
              <w:t xml:space="preserve">271174</w:t>
            </w:r>
          </w:p>
        </w:tc>
        <w:tc>
          <w:p>
            <w:pPr>
              <w:pStyle w:val="Compact"/>
              <w:jc w:val="right"/>
            </w:pPr>
            <w:r>
              <w:t xml:space="preserve">271175</w:t>
            </w:r>
          </w:p>
        </w:tc>
        <w:tc>
          <w:p>
            <w:pPr>
              <w:pStyle w:val="Compact"/>
              <w:jc w:val="right"/>
            </w:pPr>
            <w:r>
              <w:t xml:space="preserve">5.502625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0.0104099</w:t>
            </w:r>
          </w:p>
        </w:tc>
        <w:tc>
          <w:p>
            <w:pPr>
              <w:pStyle w:val="Compact"/>
              <w:jc w:val="right"/>
            </w:pPr>
            <w:r>
              <w:t xml:space="preserve">0.0018918</w:t>
            </w:r>
          </w:p>
        </w:tc>
        <w:tc>
          <w:p>
            <w:pPr>
              <w:pStyle w:val="Compact"/>
              <w:jc w:val="right"/>
            </w:pPr>
            <w:r>
              <w:t xml:space="preserve">0.0104099</w:t>
            </w:r>
          </w:p>
        </w:tc>
        <w:tc>
          <w:p>
            <w:pPr>
              <w:pStyle w:val="Compact"/>
              <w:jc w:val="right"/>
            </w:pPr>
            <w:r>
              <w:t xml:space="preserve">0.0018918</w:t>
            </w:r>
          </w:p>
        </w:tc>
        <w:tc>
          <w:p>
            <w:pPr>
              <w:pStyle w:val="Compact"/>
              <w:jc w:val="right"/>
            </w:pPr>
            <w:r>
              <w:t xml:space="preserve">5.502625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0.0158602</w:t>
            </w:r>
          </w:p>
        </w:tc>
        <w:tc>
          <w:p>
            <w:pPr>
              <w:pStyle w:val="Compact"/>
              <w:jc w:val="left"/>
            </w:pPr>
            <w:r>
              <w:t xml:space="preserve">S100P</w:t>
            </w:r>
          </w:p>
        </w:tc>
        <w:tc>
          <w:p>
            <w:pPr>
              <w:pStyle w:val="Compact"/>
              <w:jc w:val="left"/>
            </w:pPr>
            <w:r>
              <w:t xml:space="preserve">NM_005980</w:t>
            </w:r>
          </w:p>
        </w:tc>
        <w:tc>
          <w:p>
            <w:pPr>
              <w:pStyle w:val="Compact"/>
              <w:jc w:val="left"/>
            </w:pPr>
            <w:r>
              <w:t xml:space="preserve">1stExon;5’UTR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2812</w:t>
            </w:r>
          </w:p>
        </w:tc>
        <w:tc>
          <w:p>
            <w:pPr>
              <w:pStyle w:val="Compact"/>
              <w:jc w:val="left"/>
            </w:pPr>
            <w:r>
              <w:t xml:space="preserve">chr1</w:t>
            </w:r>
          </w:p>
        </w:tc>
        <w:tc>
          <w:p>
            <w:pPr>
              <w:pStyle w:val="Compact"/>
              <w:jc w:val="right"/>
            </w:pPr>
            <w:r>
              <w:t xml:space="preserve">67519155</w:t>
            </w:r>
          </w:p>
        </w:tc>
        <w:tc>
          <w:p>
            <w:pPr>
              <w:pStyle w:val="Compact"/>
              <w:jc w:val="right"/>
            </w:pPr>
            <w:r>
              <w:t xml:space="preserve">67519474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17843</w:t>
            </w:r>
          </w:p>
        </w:tc>
        <w:tc>
          <w:p>
            <w:pPr>
              <w:pStyle w:val="Compact"/>
              <w:jc w:val="right"/>
            </w:pPr>
            <w:r>
              <w:t xml:space="preserve">17844</w:t>
            </w:r>
          </w:p>
        </w:tc>
        <w:tc>
          <w:p>
            <w:pPr>
              <w:pStyle w:val="Compact"/>
              <w:jc w:val="right"/>
            </w:pPr>
            <w:r>
              <w:t xml:space="preserve">17843</w:t>
            </w:r>
          </w:p>
        </w:tc>
        <w:tc>
          <w:p>
            <w:pPr>
              <w:pStyle w:val="Compact"/>
              <w:jc w:val="right"/>
            </w:pPr>
            <w:r>
              <w:t xml:space="preserve">17844</w:t>
            </w:r>
          </w:p>
        </w:tc>
        <w:tc>
          <w:p>
            <w:pPr>
              <w:pStyle w:val="Compact"/>
              <w:jc w:val="right"/>
            </w:pPr>
            <w:r>
              <w:t xml:space="preserve">-5.493554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-0.0054861</w:t>
            </w:r>
          </w:p>
        </w:tc>
        <w:tc>
          <w:p>
            <w:pPr>
              <w:pStyle w:val="Compact"/>
              <w:jc w:val="right"/>
            </w:pPr>
            <w:r>
              <w:t xml:space="preserve">0.0009986</w:t>
            </w:r>
          </w:p>
        </w:tc>
        <w:tc>
          <w:p>
            <w:pPr>
              <w:pStyle w:val="Compact"/>
              <w:jc w:val="right"/>
            </w:pPr>
            <w:r>
              <w:t xml:space="preserve">-0.0054861</w:t>
            </w:r>
          </w:p>
        </w:tc>
        <w:tc>
          <w:p>
            <w:pPr>
              <w:pStyle w:val="Compact"/>
              <w:jc w:val="right"/>
            </w:pPr>
            <w:r>
              <w:t xml:space="preserve">0.0009986</w:t>
            </w:r>
          </w:p>
        </w:tc>
        <w:tc>
          <w:p>
            <w:pPr>
              <w:pStyle w:val="Compact"/>
              <w:jc w:val="right"/>
            </w:pPr>
            <w:r>
              <w:t xml:space="preserve">-5.493554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0.0166972</w:t>
            </w:r>
          </w:p>
        </w:tc>
        <w:tc>
          <w:p>
            <w:pPr>
              <w:pStyle w:val="Compact"/>
              <w:jc w:val="left"/>
            </w:pPr>
            <w:r>
              <w:t xml:space="preserve">SLC35D1</w:t>
            </w:r>
          </w:p>
        </w:tc>
        <w:tc>
          <w:p>
            <w:pPr>
              <w:pStyle w:val="Compact"/>
              <w:jc w:val="left"/>
            </w:pPr>
            <w:r>
              <w:t xml:space="preserve">NM_015139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high-CpG:67292032-67292659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1:67291641-67292781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7754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20d5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www.bioconductor.org/" TargetMode="External" /><Relationship Type="http://schemas.openxmlformats.org/officeDocument/2006/relationships/hyperlink" Id="rId22" Target="https://www.ncbi.nlm.nih.gov/geo/query/acc.cgi?acc=GSE6963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www.bioconductor.org/" TargetMode="External" /><Relationship Type="http://schemas.openxmlformats.org/officeDocument/2006/relationships/hyperlink" Id="rId22" Target="https://www.ncbi.nlm.nih.gov/geo/query/acc.cgi?acc=GSE6963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Identifying differentially methylated regions using dmrff</dc:title>
  <dc:creator/>
  <dcterms:created xsi:type="dcterms:W3CDTF">2019-04-10T11:21:49Z</dcterms:created>
  <dcterms:modified xsi:type="dcterms:W3CDTF">2019-04-10T11:21:49Z</dcterms:modified>
</cp:coreProperties>
</file>