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DCEA" w14:textId="77777777" w:rsidR="00FE3845" w:rsidRDefault="00FE3845" w:rsidP="00FE3845">
      <w:pPr>
        <w:rPr>
          <w:color w:val="FFFFFF" w:themeColor="background1"/>
        </w:rPr>
      </w:pPr>
    </w:p>
    <w:p w14:paraId="19B5BD73" w14:textId="77777777" w:rsidR="00FE3845" w:rsidRPr="00FE3845" w:rsidRDefault="00FE3845" w:rsidP="00FE3845">
      <w:pPr>
        <w:pStyle w:val="Heading1"/>
      </w:pPr>
      <w:bookmarkStart w:id="0" w:name="_Toc457988534"/>
      <w:bookmarkStart w:id="1" w:name="_Toc469168783"/>
      <w:r w:rsidRPr="00FE3845">
        <w:t>Spaces of hand</w:t>
      </w:r>
      <w:bookmarkEnd w:id="0"/>
      <w:bookmarkEnd w:id="1"/>
      <w:r w:rsidRPr="00FE3845">
        <w:t xml:space="preserve"> </w:t>
      </w:r>
    </w:p>
    <w:p w14:paraId="6C31A058" w14:textId="77777777" w:rsidR="00FE3845" w:rsidRPr="00FE2A40" w:rsidRDefault="00FE3845" w:rsidP="00FE3845">
      <w:pPr>
        <w:pStyle w:val="BodyText"/>
        <w:numPr>
          <w:ilvl w:val="0"/>
          <w:numId w:val="1"/>
        </w:numPr>
        <w:spacing w:after="0"/>
        <w:rPr>
          <w:sz w:val="22"/>
        </w:rPr>
      </w:pPr>
      <w:r w:rsidRPr="00FE2A40">
        <w:rPr>
          <w:sz w:val="22"/>
        </w:rPr>
        <w:t xml:space="preserve">Under normal conditions </w:t>
      </w:r>
    </w:p>
    <w:p w14:paraId="46E13951" w14:textId="77777777" w:rsidR="00FE3845" w:rsidRPr="00FE2A40" w:rsidRDefault="00FE3845" w:rsidP="00FE3845">
      <w:pPr>
        <w:pStyle w:val="BodyText"/>
        <w:numPr>
          <w:ilvl w:val="1"/>
          <w:numId w:val="1"/>
        </w:numPr>
        <w:spacing w:after="0"/>
        <w:rPr>
          <w:sz w:val="22"/>
        </w:rPr>
      </w:pPr>
      <w:r w:rsidRPr="00FE2A40">
        <w:rPr>
          <w:sz w:val="22"/>
        </w:rPr>
        <w:t xml:space="preserve">NO well-defined spaces inside the fascial compartments </w:t>
      </w:r>
    </w:p>
    <w:p w14:paraId="4960C140" w14:textId="77777777" w:rsidR="00FE3845" w:rsidRPr="00FE2A40" w:rsidRDefault="00FE3845" w:rsidP="00FE3845">
      <w:pPr>
        <w:pStyle w:val="BodyText"/>
        <w:numPr>
          <w:ilvl w:val="0"/>
          <w:numId w:val="1"/>
        </w:numPr>
        <w:spacing w:after="0"/>
        <w:rPr>
          <w:sz w:val="22"/>
        </w:rPr>
      </w:pPr>
      <w:r w:rsidRPr="00FE2A40">
        <w:rPr>
          <w:sz w:val="22"/>
        </w:rPr>
        <w:t>5 spaces – named</w:t>
      </w:r>
    </w:p>
    <w:p w14:paraId="1FE29283" w14:textId="77777777" w:rsidR="00FE3845" w:rsidRPr="00FE2A40" w:rsidRDefault="00FE3845" w:rsidP="00FE3845">
      <w:pPr>
        <w:pStyle w:val="BodyText"/>
        <w:numPr>
          <w:ilvl w:val="1"/>
          <w:numId w:val="1"/>
        </w:numPr>
        <w:spacing w:after="0"/>
        <w:rPr>
          <w:sz w:val="22"/>
        </w:rPr>
      </w:pPr>
      <w:r w:rsidRPr="00FE2A40">
        <w:rPr>
          <w:sz w:val="22"/>
        </w:rPr>
        <w:t>Midpalmar space</w:t>
      </w:r>
    </w:p>
    <w:p w14:paraId="521B7265" w14:textId="77777777" w:rsidR="00FE3845" w:rsidRPr="00FE2A40" w:rsidRDefault="00FE3845" w:rsidP="00FE3845">
      <w:pPr>
        <w:pStyle w:val="BodyText"/>
        <w:numPr>
          <w:ilvl w:val="1"/>
          <w:numId w:val="1"/>
        </w:numPr>
        <w:spacing w:after="0"/>
        <w:rPr>
          <w:sz w:val="22"/>
        </w:rPr>
      </w:pPr>
      <w:r w:rsidRPr="00FE2A40">
        <w:rPr>
          <w:sz w:val="22"/>
        </w:rPr>
        <w:t>Thenar space</w:t>
      </w:r>
    </w:p>
    <w:p w14:paraId="02007F7C" w14:textId="77777777" w:rsidR="00FE3845" w:rsidRPr="00FE2A40" w:rsidRDefault="00FE3845" w:rsidP="00FE3845">
      <w:pPr>
        <w:pStyle w:val="BodyText"/>
        <w:numPr>
          <w:ilvl w:val="1"/>
          <w:numId w:val="1"/>
        </w:numPr>
        <w:spacing w:after="0"/>
        <w:rPr>
          <w:sz w:val="22"/>
        </w:rPr>
      </w:pPr>
      <w:r w:rsidRPr="00FE2A40">
        <w:rPr>
          <w:sz w:val="22"/>
        </w:rPr>
        <w:t>Web space</w:t>
      </w:r>
    </w:p>
    <w:p w14:paraId="68277603" w14:textId="77777777" w:rsidR="00FE3845" w:rsidRPr="00FE2A40" w:rsidRDefault="00FE3845" w:rsidP="00FE3845">
      <w:pPr>
        <w:pStyle w:val="BodyText"/>
        <w:numPr>
          <w:ilvl w:val="1"/>
          <w:numId w:val="1"/>
        </w:numPr>
        <w:spacing w:after="0"/>
        <w:rPr>
          <w:sz w:val="22"/>
        </w:rPr>
      </w:pPr>
      <w:r w:rsidRPr="00FE2A40">
        <w:rPr>
          <w:sz w:val="22"/>
        </w:rPr>
        <w:t>Pulp spaces</w:t>
      </w:r>
    </w:p>
    <w:p w14:paraId="4CE7333F" w14:textId="77777777" w:rsidR="00FE3845" w:rsidRDefault="00FE3845" w:rsidP="00FE3845">
      <w:pPr>
        <w:pStyle w:val="BodyText"/>
        <w:numPr>
          <w:ilvl w:val="1"/>
          <w:numId w:val="1"/>
        </w:numPr>
        <w:spacing w:after="0"/>
        <w:rPr>
          <w:sz w:val="22"/>
        </w:rPr>
      </w:pPr>
      <w:r w:rsidRPr="00FE2A40">
        <w:rPr>
          <w:sz w:val="22"/>
        </w:rPr>
        <w:t>Forearm space of Parona</w:t>
      </w:r>
    </w:p>
    <w:p w14:paraId="0021044A" w14:textId="65B37716" w:rsidR="00FE3845" w:rsidRPr="00FE2A40" w:rsidRDefault="00FE3845" w:rsidP="00FE3845">
      <w:pPr>
        <w:pStyle w:val="BodyText"/>
        <w:spacing w:after="0"/>
        <w:rPr>
          <w:sz w:val="22"/>
        </w:rPr>
      </w:pPr>
      <w:r>
        <w:rPr>
          <w:noProof/>
        </w:rPr>
        <w:drawing>
          <wp:inline distT="0" distB="0" distL="0" distR="0" wp14:anchorId="4CE7915F" wp14:editId="4351A02D">
            <wp:extent cx="5731510" cy="3343275"/>
            <wp:effectExtent l="0" t="0" r="0" b="0"/>
            <wp:docPr id="75771575" name="Picture 1" descr="A diagram of a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575" name="Picture 1" descr="A diagram of a spa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5CA5E6C7" w14:textId="77777777" w:rsidR="00FE3845" w:rsidRDefault="00FE3845" w:rsidP="00FE3845">
      <w:pPr>
        <w:pStyle w:val="Header"/>
        <w:tabs>
          <w:tab w:val="clear" w:pos="4513"/>
          <w:tab w:val="clear" w:pos="9026"/>
        </w:tabs>
        <w:rPr>
          <w:b/>
        </w:rPr>
      </w:pPr>
    </w:p>
    <w:p w14:paraId="45E2C43D" w14:textId="77777777" w:rsidR="00FE3845" w:rsidRPr="00DD6BFA" w:rsidRDefault="00FE3845" w:rsidP="00FE3845">
      <w:pPr>
        <w:pStyle w:val="Heading2"/>
      </w:pPr>
      <w:r w:rsidRPr="00DD6BFA">
        <w:t xml:space="preserve">Midpalmar space </w:t>
      </w:r>
    </w:p>
    <w:p w14:paraId="278F26E9" w14:textId="77777777" w:rsidR="00FE3845" w:rsidRDefault="00FE3845" w:rsidP="00FE3845">
      <w:pPr>
        <w:pStyle w:val="Heading3"/>
      </w:pPr>
      <w:r>
        <w:t xml:space="preserve">Boundaries: </w:t>
      </w:r>
    </w:p>
    <w:p w14:paraId="39D48ED0" w14:textId="77777777" w:rsidR="00FE3845" w:rsidRDefault="00FE3845" w:rsidP="00FE3845">
      <w:pPr>
        <w:pStyle w:val="Header"/>
        <w:numPr>
          <w:ilvl w:val="0"/>
          <w:numId w:val="3"/>
        </w:numPr>
        <w:tabs>
          <w:tab w:val="clear" w:pos="4513"/>
          <w:tab w:val="clear" w:pos="9026"/>
        </w:tabs>
        <w:ind w:left="851"/>
      </w:pPr>
      <w:r>
        <w:t xml:space="preserve">Superficially: palmar aponeurosis, superficial palmar arch, flexor tendons of medial three fingers covered with common synovial sheath (ulnar bursa) and medial three lumbrical muscles </w:t>
      </w:r>
    </w:p>
    <w:p w14:paraId="2A77970F" w14:textId="77777777" w:rsidR="00FE3845" w:rsidRDefault="00FE3845" w:rsidP="00FE3845">
      <w:pPr>
        <w:pStyle w:val="Header"/>
        <w:numPr>
          <w:ilvl w:val="0"/>
          <w:numId w:val="3"/>
        </w:numPr>
        <w:tabs>
          <w:tab w:val="clear" w:pos="4513"/>
          <w:tab w:val="clear" w:pos="9026"/>
        </w:tabs>
        <w:ind w:left="851"/>
      </w:pPr>
      <w:r>
        <w:t>Deep: deep fascia covering interossei and metacarpal bones (3</w:t>
      </w:r>
      <w:r w:rsidRPr="00DD6BFA">
        <w:rPr>
          <w:vertAlign w:val="superscript"/>
        </w:rPr>
        <w:t>rd</w:t>
      </w:r>
      <w:r>
        <w:t xml:space="preserve"> to 5</w:t>
      </w:r>
      <w:r w:rsidRPr="00DD6BFA">
        <w:rPr>
          <w:vertAlign w:val="superscript"/>
        </w:rPr>
        <w:t>th</w:t>
      </w:r>
      <w:r>
        <w:t>)</w:t>
      </w:r>
    </w:p>
    <w:p w14:paraId="48EAD797" w14:textId="77777777" w:rsidR="00FE3845" w:rsidRDefault="00FE3845" w:rsidP="00FE3845">
      <w:pPr>
        <w:pStyle w:val="Header"/>
        <w:numPr>
          <w:ilvl w:val="0"/>
          <w:numId w:val="3"/>
        </w:numPr>
        <w:tabs>
          <w:tab w:val="clear" w:pos="4513"/>
          <w:tab w:val="clear" w:pos="9026"/>
        </w:tabs>
        <w:ind w:left="851"/>
      </w:pPr>
      <w:r>
        <w:t>Medially (ulnar): medial palmar septum</w:t>
      </w:r>
    </w:p>
    <w:p w14:paraId="745D9E15" w14:textId="77777777" w:rsidR="00FE3845" w:rsidRDefault="00FE3845" w:rsidP="00FE3845">
      <w:pPr>
        <w:pStyle w:val="Header"/>
        <w:numPr>
          <w:ilvl w:val="0"/>
          <w:numId w:val="3"/>
        </w:numPr>
        <w:tabs>
          <w:tab w:val="clear" w:pos="4513"/>
          <w:tab w:val="clear" w:pos="9026"/>
        </w:tabs>
        <w:ind w:left="851"/>
      </w:pPr>
      <w:r>
        <w:t>Laterally (radial): midpalmar septum</w:t>
      </w:r>
    </w:p>
    <w:p w14:paraId="468690DA" w14:textId="77777777" w:rsidR="00FE3845" w:rsidRDefault="00FE3845" w:rsidP="00FE3845">
      <w:pPr>
        <w:pStyle w:val="Header"/>
        <w:tabs>
          <w:tab w:val="clear" w:pos="4513"/>
          <w:tab w:val="clear" w:pos="9026"/>
        </w:tabs>
      </w:pPr>
    </w:p>
    <w:p w14:paraId="336FD389" w14:textId="77777777" w:rsidR="00FE3845" w:rsidRPr="00586802" w:rsidRDefault="00FE3845" w:rsidP="00FE3845">
      <w:pPr>
        <w:pStyle w:val="Heading2"/>
      </w:pPr>
      <w:r w:rsidRPr="00586802">
        <w:lastRenderedPageBreak/>
        <w:t xml:space="preserve">Thenar space </w:t>
      </w:r>
    </w:p>
    <w:p w14:paraId="64130E87" w14:textId="77777777" w:rsidR="00FE3845" w:rsidRDefault="00FE3845" w:rsidP="00FE3845">
      <w:pPr>
        <w:pStyle w:val="Heading3"/>
      </w:pPr>
      <w:r>
        <w:t xml:space="preserve">Boundaries: </w:t>
      </w:r>
    </w:p>
    <w:p w14:paraId="4A213020" w14:textId="77777777" w:rsidR="00FE3845" w:rsidRDefault="00FE3845" w:rsidP="00FE3845">
      <w:pPr>
        <w:pStyle w:val="Header"/>
        <w:numPr>
          <w:ilvl w:val="0"/>
          <w:numId w:val="3"/>
        </w:numPr>
        <w:tabs>
          <w:tab w:val="clear" w:pos="4513"/>
          <w:tab w:val="clear" w:pos="9026"/>
        </w:tabs>
        <w:ind w:left="851"/>
      </w:pPr>
      <w:r>
        <w:t>Superficially: palmar aponeurosis, superficial palmar arch, flexor pollicis longus with flexor sheath (radial bursa) and first lumbrical muscle</w:t>
      </w:r>
    </w:p>
    <w:p w14:paraId="764028B8" w14:textId="77777777" w:rsidR="00FE3845" w:rsidRDefault="00FE3845" w:rsidP="00FE3845">
      <w:pPr>
        <w:pStyle w:val="Header"/>
        <w:numPr>
          <w:ilvl w:val="0"/>
          <w:numId w:val="3"/>
        </w:numPr>
        <w:tabs>
          <w:tab w:val="clear" w:pos="4513"/>
          <w:tab w:val="clear" w:pos="9026"/>
        </w:tabs>
        <w:ind w:left="851"/>
      </w:pPr>
      <w:r>
        <w:t>Deep: deep fascia covering adductor pollicis</w:t>
      </w:r>
    </w:p>
    <w:p w14:paraId="166706AB" w14:textId="77777777" w:rsidR="00FE3845" w:rsidRDefault="00FE3845" w:rsidP="00FE3845">
      <w:pPr>
        <w:pStyle w:val="Header"/>
        <w:numPr>
          <w:ilvl w:val="0"/>
          <w:numId w:val="3"/>
        </w:numPr>
        <w:tabs>
          <w:tab w:val="clear" w:pos="4513"/>
          <w:tab w:val="clear" w:pos="9026"/>
        </w:tabs>
        <w:ind w:left="851"/>
      </w:pPr>
      <w:r>
        <w:t>Medially (ulnar): midpalmar septum</w:t>
      </w:r>
    </w:p>
    <w:p w14:paraId="09779049" w14:textId="77777777" w:rsidR="00FE3845" w:rsidRDefault="00FE3845" w:rsidP="00FE3845">
      <w:pPr>
        <w:pStyle w:val="Header"/>
        <w:numPr>
          <w:ilvl w:val="0"/>
          <w:numId w:val="3"/>
        </w:numPr>
        <w:tabs>
          <w:tab w:val="clear" w:pos="4513"/>
          <w:tab w:val="clear" w:pos="9026"/>
        </w:tabs>
        <w:ind w:left="851"/>
      </w:pPr>
      <w:r>
        <w:t xml:space="preserve">Laterally (radial): lateral palmar septum </w:t>
      </w:r>
    </w:p>
    <w:p w14:paraId="4AE702E8" w14:textId="77777777" w:rsidR="00FE3845" w:rsidRDefault="00FE3845" w:rsidP="00FE3845">
      <w:pPr>
        <w:pStyle w:val="Header"/>
        <w:tabs>
          <w:tab w:val="clear" w:pos="4513"/>
          <w:tab w:val="clear" w:pos="9026"/>
        </w:tabs>
      </w:pPr>
    </w:p>
    <w:p w14:paraId="1B675593" w14:textId="0AB77464" w:rsidR="00FE3845" w:rsidRDefault="00FE3845" w:rsidP="00FE3845">
      <w:pPr>
        <w:pStyle w:val="Header"/>
        <w:tabs>
          <w:tab w:val="clear" w:pos="4513"/>
          <w:tab w:val="clear" w:pos="9026"/>
        </w:tabs>
      </w:pPr>
      <w:r>
        <w:t xml:space="preserve">[CLINICAL]Midplamar space and thenar spaces extend distally upto the distal palmar crease and beyond this they communicate with lumbrical canals. If there is collection of pus in midpalmar or thenar space (pus tanks), it can be drained via lumbrical canals (that acts as pus taps) </w:t>
      </w:r>
    </w:p>
    <w:p w14:paraId="15CE8D2A" w14:textId="77777777" w:rsidR="00FE3845" w:rsidRDefault="00FE3845" w:rsidP="00FE3845">
      <w:pPr>
        <w:pStyle w:val="Header"/>
      </w:pPr>
    </w:p>
    <w:p w14:paraId="7999788D" w14:textId="77777777" w:rsidR="00FE3845" w:rsidRDefault="00FE3845" w:rsidP="00FE3845">
      <w:pPr>
        <w:pStyle w:val="Header"/>
      </w:pPr>
      <w:r>
        <w:t>[TIP] Midpalmar space + thenar space = pus tanks</w:t>
      </w:r>
    </w:p>
    <w:p w14:paraId="664AB354" w14:textId="569D1B0D" w:rsidR="00FE3845" w:rsidRDefault="00FE3845" w:rsidP="00FE3845">
      <w:pPr>
        <w:pStyle w:val="Header"/>
      </w:pPr>
      <w:r>
        <w:t>Lumbrical canals = pus taps, through web spaces</w:t>
      </w:r>
    </w:p>
    <w:p w14:paraId="45A08EA6" w14:textId="77777777" w:rsidR="00FE3845" w:rsidRDefault="00FE3845" w:rsidP="00FE3845">
      <w:pPr>
        <w:pStyle w:val="Header"/>
      </w:pPr>
    </w:p>
    <w:p w14:paraId="35B31F59" w14:textId="1274BC08" w:rsidR="00FE3845" w:rsidRDefault="00FE3845" w:rsidP="00FE3845">
      <w:pPr>
        <w:pStyle w:val="Header"/>
      </w:pPr>
      <w:r>
        <w:rPr>
          <w:noProof/>
        </w:rPr>
        <w:drawing>
          <wp:inline distT="0" distB="0" distL="0" distR="0" wp14:anchorId="34FABDA9" wp14:editId="0B0D5436">
            <wp:extent cx="5731510" cy="3504565"/>
            <wp:effectExtent l="0" t="0" r="0" b="635"/>
            <wp:docPr id="72807061" name="Picture 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061" name="Picture 3" descr="A diagram of a structu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04565"/>
                    </a:xfrm>
                    <a:prstGeom prst="rect">
                      <a:avLst/>
                    </a:prstGeom>
                    <a:noFill/>
                    <a:ln>
                      <a:noFill/>
                    </a:ln>
                  </pic:spPr>
                </pic:pic>
              </a:graphicData>
            </a:graphic>
          </wp:inline>
        </w:drawing>
      </w:r>
    </w:p>
    <w:p w14:paraId="70A01C88" w14:textId="77777777" w:rsidR="00FE3845" w:rsidRDefault="00FE3845" w:rsidP="00FE3845">
      <w:pPr>
        <w:pStyle w:val="Header"/>
      </w:pPr>
    </w:p>
    <w:p w14:paraId="705FF32D" w14:textId="27D67A8D" w:rsidR="00FE3845" w:rsidRDefault="00FE3845" w:rsidP="00FE3845">
      <w:pPr>
        <w:pStyle w:val="Header"/>
      </w:pPr>
      <w:r>
        <w:t xml:space="preserve">[TIP]Learn to draw the diagram </w:t>
      </w:r>
    </w:p>
    <w:p w14:paraId="232A7E23" w14:textId="66361230" w:rsidR="00FE3845" w:rsidRDefault="00FE3845" w:rsidP="00FE3845">
      <w:pPr>
        <w:pStyle w:val="Header"/>
      </w:pPr>
      <w:r>
        <w:t>[YOUTUBE]</w:t>
      </w:r>
      <w:r w:rsidRPr="00FE3845">
        <w:t xml:space="preserve"> https://youtu.be/m0DMUZhDP4s</w:t>
      </w:r>
    </w:p>
    <w:p w14:paraId="600387BB" w14:textId="77777777" w:rsidR="00FE3845" w:rsidRDefault="00FE3845" w:rsidP="00FE3845">
      <w:pPr>
        <w:pStyle w:val="Header"/>
      </w:pPr>
    </w:p>
    <w:p w14:paraId="5ACE8FEE" w14:textId="77777777" w:rsidR="00FE3845" w:rsidRDefault="00FE3845" w:rsidP="00FE3845">
      <w:pPr>
        <w:pStyle w:val="BodyText"/>
        <w:spacing w:after="0"/>
        <w:ind w:left="720"/>
      </w:pPr>
    </w:p>
    <w:p w14:paraId="73DD4E05" w14:textId="77777777" w:rsidR="00FE3845" w:rsidRDefault="00FE3845" w:rsidP="00FE3845">
      <w:pPr>
        <w:pStyle w:val="Heading2"/>
      </w:pPr>
      <w:r>
        <w:t>Fibrous flexor</w:t>
      </w:r>
      <w:r w:rsidRPr="00FE2A40">
        <w:t xml:space="preserve"> sheaths </w:t>
      </w:r>
    </w:p>
    <w:p w14:paraId="0C070191" w14:textId="77777777" w:rsidR="00FE3845" w:rsidRDefault="00FE3845" w:rsidP="00FE3845">
      <w:pPr>
        <w:pStyle w:val="BodyText"/>
        <w:numPr>
          <w:ilvl w:val="1"/>
          <w:numId w:val="1"/>
        </w:numPr>
        <w:spacing w:after="0"/>
        <w:rPr>
          <w:sz w:val="22"/>
        </w:rPr>
      </w:pPr>
      <w:r>
        <w:rPr>
          <w:sz w:val="22"/>
        </w:rPr>
        <w:t>Thickened deep fascia</w:t>
      </w:r>
    </w:p>
    <w:p w14:paraId="03D3D2F3" w14:textId="77777777" w:rsidR="00FE3845" w:rsidRDefault="00FE3845" w:rsidP="00FE3845">
      <w:pPr>
        <w:pStyle w:val="BodyText"/>
        <w:numPr>
          <w:ilvl w:val="1"/>
          <w:numId w:val="1"/>
        </w:numPr>
        <w:spacing w:after="0"/>
        <w:rPr>
          <w:sz w:val="22"/>
        </w:rPr>
      </w:pPr>
      <w:r>
        <w:rPr>
          <w:sz w:val="22"/>
        </w:rPr>
        <w:t xml:space="preserve">Extends from heads of metacarpal bones to distal phalanx </w:t>
      </w:r>
    </w:p>
    <w:p w14:paraId="70505B63" w14:textId="77777777" w:rsidR="00FE3845" w:rsidRDefault="00FE3845" w:rsidP="00FE3845">
      <w:pPr>
        <w:pStyle w:val="BodyText"/>
        <w:numPr>
          <w:ilvl w:val="1"/>
          <w:numId w:val="1"/>
        </w:numPr>
        <w:spacing w:after="0"/>
        <w:rPr>
          <w:sz w:val="22"/>
        </w:rPr>
      </w:pPr>
      <w:r>
        <w:rPr>
          <w:sz w:val="22"/>
        </w:rPr>
        <w:t xml:space="preserve">Consists of flexor tendons </w:t>
      </w:r>
    </w:p>
    <w:p w14:paraId="55CEDE1F" w14:textId="77777777" w:rsidR="00FE3845" w:rsidRDefault="00FE3845" w:rsidP="00FE3845">
      <w:pPr>
        <w:pStyle w:val="BodyText"/>
        <w:numPr>
          <w:ilvl w:val="2"/>
          <w:numId w:val="1"/>
        </w:numPr>
        <w:spacing w:after="0"/>
        <w:rPr>
          <w:sz w:val="22"/>
        </w:rPr>
      </w:pPr>
      <w:r>
        <w:rPr>
          <w:sz w:val="22"/>
        </w:rPr>
        <w:t>Thumb – tendon of flexor pollicis longus</w:t>
      </w:r>
    </w:p>
    <w:p w14:paraId="7C2C4085" w14:textId="77777777" w:rsidR="00FE3845" w:rsidRDefault="00FE3845" w:rsidP="00FE3845">
      <w:pPr>
        <w:pStyle w:val="BodyText"/>
        <w:numPr>
          <w:ilvl w:val="2"/>
          <w:numId w:val="1"/>
        </w:numPr>
        <w:spacing w:after="0"/>
        <w:rPr>
          <w:sz w:val="22"/>
        </w:rPr>
      </w:pPr>
      <w:r>
        <w:rPr>
          <w:sz w:val="22"/>
        </w:rPr>
        <w:t>Other fingers – tendons of flexor digitorum superficialis and profundus</w:t>
      </w:r>
    </w:p>
    <w:p w14:paraId="48B438C9" w14:textId="77777777" w:rsidR="00FE3845" w:rsidRDefault="00FE3845" w:rsidP="00FE3845">
      <w:pPr>
        <w:pStyle w:val="BodyText"/>
        <w:numPr>
          <w:ilvl w:val="1"/>
          <w:numId w:val="1"/>
        </w:numPr>
        <w:spacing w:after="0"/>
        <w:rPr>
          <w:sz w:val="22"/>
        </w:rPr>
      </w:pPr>
      <w:r>
        <w:rPr>
          <w:sz w:val="22"/>
        </w:rPr>
        <w:lastRenderedPageBreak/>
        <w:t>Tendons are covered by a synovial sheath – to allow frictionless movements</w:t>
      </w:r>
    </w:p>
    <w:p w14:paraId="44F34445" w14:textId="77777777" w:rsidR="00FE3845" w:rsidRDefault="00FE3845" w:rsidP="00FE3845">
      <w:pPr>
        <w:pStyle w:val="BodyText"/>
        <w:numPr>
          <w:ilvl w:val="0"/>
          <w:numId w:val="1"/>
        </w:numPr>
        <w:spacing w:after="0"/>
        <w:rPr>
          <w:sz w:val="22"/>
        </w:rPr>
      </w:pPr>
      <w:r>
        <w:rPr>
          <w:sz w:val="22"/>
        </w:rPr>
        <w:t>Radial bursa – synovial sheath covering flexor pollicis longus; related to thenar space</w:t>
      </w:r>
    </w:p>
    <w:p w14:paraId="438EEF52" w14:textId="77777777" w:rsidR="00FE3845" w:rsidRDefault="00FE3845" w:rsidP="00FE3845">
      <w:pPr>
        <w:pStyle w:val="BodyText"/>
        <w:numPr>
          <w:ilvl w:val="0"/>
          <w:numId w:val="1"/>
        </w:numPr>
        <w:spacing w:after="0"/>
        <w:rPr>
          <w:sz w:val="22"/>
        </w:rPr>
      </w:pPr>
      <w:r>
        <w:rPr>
          <w:sz w:val="22"/>
        </w:rPr>
        <w:t>Ulnar bursa – synovial sheath covering long flexors of fingers – including 4 superficial and 4 deep flexor tendons.</w:t>
      </w:r>
    </w:p>
    <w:p w14:paraId="5D7FF7FA" w14:textId="77777777" w:rsidR="00FE3845" w:rsidRDefault="00FE3845" w:rsidP="00FE3845">
      <w:pPr>
        <w:pStyle w:val="BodyText"/>
        <w:numPr>
          <w:ilvl w:val="0"/>
          <w:numId w:val="1"/>
        </w:numPr>
        <w:spacing w:after="0"/>
        <w:rPr>
          <w:sz w:val="22"/>
        </w:rPr>
      </w:pPr>
      <w:r>
        <w:rPr>
          <w:sz w:val="22"/>
        </w:rPr>
        <w:t>Usually- the distal end of ulnar bursa continues with digital synovial sheath of little finger</w:t>
      </w:r>
    </w:p>
    <w:p w14:paraId="11590DD6" w14:textId="77777777" w:rsidR="00FE3845" w:rsidRDefault="00FE3845" w:rsidP="00FE3845">
      <w:pPr>
        <w:pStyle w:val="BodyText"/>
        <w:numPr>
          <w:ilvl w:val="0"/>
          <w:numId w:val="1"/>
        </w:numPr>
        <w:spacing w:after="0"/>
        <w:rPr>
          <w:sz w:val="22"/>
        </w:rPr>
      </w:pPr>
      <w:r>
        <w:rPr>
          <w:sz w:val="22"/>
        </w:rPr>
        <w:t xml:space="preserve">Digital synovial sheaths – flexor tendons of digits while passing through the fibrous flexor sheaths are enclosed in synovial sheath. </w:t>
      </w:r>
    </w:p>
    <w:p w14:paraId="20748051" w14:textId="77777777" w:rsidR="00FE3845" w:rsidRDefault="00FE3845" w:rsidP="00FE3845">
      <w:pPr>
        <w:pStyle w:val="BodyText"/>
        <w:spacing w:after="0"/>
        <w:rPr>
          <w:sz w:val="22"/>
        </w:rPr>
      </w:pPr>
    </w:p>
    <w:p w14:paraId="306B7865" w14:textId="568EAB67" w:rsidR="00FE3845" w:rsidRDefault="00FE3845" w:rsidP="00FE3845">
      <w:pPr>
        <w:pStyle w:val="BodyText"/>
        <w:spacing w:after="0"/>
        <w:rPr>
          <w:sz w:val="22"/>
        </w:rPr>
      </w:pPr>
    </w:p>
    <w:p w14:paraId="25F693C8" w14:textId="77777777" w:rsidR="00FE3845" w:rsidRDefault="00FE3845" w:rsidP="00FE3845">
      <w:pPr>
        <w:pStyle w:val="Heading2"/>
      </w:pPr>
      <w:r>
        <w:t>Variations in arrangement of synovial sheaths</w:t>
      </w:r>
    </w:p>
    <w:p w14:paraId="2E2D9385" w14:textId="7ACFE220" w:rsidR="00FE3845" w:rsidRDefault="00FE3845" w:rsidP="00FE3845">
      <w:r w:rsidRPr="008B61EE">
        <w:rPr>
          <w:noProof/>
          <w:lang w:eastAsia="en-IN"/>
        </w:rPr>
        <w:drawing>
          <wp:inline distT="0" distB="0" distL="0" distR="0" wp14:anchorId="1422F185" wp14:editId="3263797B">
            <wp:extent cx="5446838" cy="1814607"/>
            <wp:effectExtent l="0" t="0" r="1905" b="0"/>
            <wp:docPr id="3074" name="Picture 2" descr="A diagram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 diagram of a hand&#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5453563" cy="1816848"/>
                    </a:xfrm>
                    <a:prstGeom prst="rect">
                      <a:avLst/>
                    </a:prstGeom>
                    <a:noFill/>
                    <a:ln>
                      <a:noFill/>
                    </a:ln>
                    <a:effectLst/>
                  </pic:spPr>
                </pic:pic>
              </a:graphicData>
            </a:graphic>
          </wp:inline>
        </w:drawing>
      </w:r>
    </w:p>
    <w:p w14:paraId="6843B912" w14:textId="77777777" w:rsidR="00FE3845" w:rsidRDefault="00FE3845" w:rsidP="00FE3845"/>
    <w:p w14:paraId="334F402A" w14:textId="77777777" w:rsidR="00FE3845" w:rsidRPr="00FE2A40" w:rsidRDefault="00FE3845" w:rsidP="00FE3845">
      <w:pPr>
        <w:pStyle w:val="Heading3"/>
      </w:pPr>
      <w:r w:rsidRPr="00FE2A40">
        <w:t>Tenosynovitis</w:t>
      </w:r>
      <w:r w:rsidRPr="00FE2A40">
        <w:tab/>
      </w:r>
    </w:p>
    <w:p w14:paraId="025D6613" w14:textId="77777777" w:rsidR="00FE3845" w:rsidRDefault="00FE3845" w:rsidP="00FE3845">
      <w:r w:rsidRPr="00FE2A40">
        <w:t>Inflammation of synovial sheath surrounding a tendon</w:t>
      </w:r>
    </w:p>
    <w:p w14:paraId="257AAB2F" w14:textId="39CE168A" w:rsidR="00FE3845" w:rsidRPr="00586802" w:rsidRDefault="00FE3845" w:rsidP="00FE3845">
      <w:r>
        <w:rPr>
          <w:noProof/>
        </w:rPr>
        <w:drawing>
          <wp:inline distT="0" distB="0" distL="0" distR="0" wp14:anchorId="64051068" wp14:editId="4CC27F35">
            <wp:extent cx="3230765" cy="2781193"/>
            <wp:effectExtent l="0" t="0" r="0" b="0"/>
            <wp:docPr id="1844206881" name="Picture 5" descr="A black and yellow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6881" name="Picture 5" descr="A black and yellow object with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5014" cy="2784851"/>
                    </a:xfrm>
                    <a:prstGeom prst="rect">
                      <a:avLst/>
                    </a:prstGeom>
                    <a:noFill/>
                    <a:ln>
                      <a:noFill/>
                    </a:ln>
                  </pic:spPr>
                </pic:pic>
              </a:graphicData>
            </a:graphic>
          </wp:inline>
        </w:drawing>
      </w:r>
    </w:p>
    <w:p w14:paraId="2720BFE9" w14:textId="77777777" w:rsidR="00FE3845" w:rsidRPr="00FE2A40" w:rsidRDefault="00FE3845" w:rsidP="00FE3845">
      <w:pPr>
        <w:pStyle w:val="BodyText"/>
        <w:rPr>
          <w:sz w:val="22"/>
        </w:rPr>
      </w:pPr>
    </w:p>
    <w:p w14:paraId="2E6F23BD" w14:textId="77777777" w:rsidR="00FE3845" w:rsidRPr="00FE2A40" w:rsidRDefault="00FE3845" w:rsidP="00FE3845">
      <w:pPr>
        <w:pStyle w:val="Heading2"/>
      </w:pPr>
      <w:r w:rsidRPr="00FE2A40">
        <w:t>Web space</w:t>
      </w:r>
    </w:p>
    <w:p w14:paraId="78BAD82F" w14:textId="77777777" w:rsidR="00FE3845" w:rsidRPr="00FE2A40" w:rsidRDefault="00FE3845" w:rsidP="00FE3845">
      <w:pPr>
        <w:pStyle w:val="BodyText"/>
        <w:numPr>
          <w:ilvl w:val="0"/>
          <w:numId w:val="1"/>
        </w:numPr>
        <w:spacing w:after="0"/>
        <w:rPr>
          <w:sz w:val="22"/>
        </w:rPr>
      </w:pPr>
      <w:r w:rsidRPr="00FE2A40">
        <w:rPr>
          <w:sz w:val="22"/>
        </w:rPr>
        <w:t>Soft tissue between the bases of the fingers</w:t>
      </w:r>
    </w:p>
    <w:p w14:paraId="33046AB3" w14:textId="77777777" w:rsidR="00FE3845" w:rsidRPr="00FE2A40" w:rsidRDefault="00FE3845" w:rsidP="00FE3845">
      <w:pPr>
        <w:pStyle w:val="BodyText"/>
        <w:numPr>
          <w:ilvl w:val="0"/>
          <w:numId w:val="1"/>
        </w:numPr>
        <w:spacing w:after="0"/>
        <w:rPr>
          <w:sz w:val="22"/>
        </w:rPr>
      </w:pPr>
      <w:r w:rsidRPr="00FE2A40">
        <w:rPr>
          <w:sz w:val="22"/>
        </w:rPr>
        <w:lastRenderedPageBreak/>
        <w:t>Distally - skin and nat</w:t>
      </w:r>
      <w:r>
        <w:rPr>
          <w:sz w:val="22"/>
        </w:rPr>
        <w:t xml:space="preserve">atory ligament </w:t>
      </w:r>
    </w:p>
    <w:p w14:paraId="4B7E36F5" w14:textId="77777777" w:rsidR="00FE3845" w:rsidRPr="00FE2A40" w:rsidRDefault="00FE3845" w:rsidP="00FE3845">
      <w:pPr>
        <w:pStyle w:val="BodyText"/>
        <w:numPr>
          <w:ilvl w:val="0"/>
          <w:numId w:val="1"/>
        </w:numPr>
        <w:spacing w:after="0"/>
        <w:rPr>
          <w:sz w:val="22"/>
        </w:rPr>
      </w:pPr>
      <w:r w:rsidRPr="00FE2A40">
        <w:rPr>
          <w:sz w:val="22"/>
        </w:rPr>
        <w:t>Posteriorly - deep transverse metacarpal lig</w:t>
      </w:r>
      <w:r>
        <w:rPr>
          <w:sz w:val="22"/>
        </w:rPr>
        <w:t>ament</w:t>
      </w:r>
      <w:r w:rsidRPr="00FE2A40">
        <w:rPr>
          <w:sz w:val="22"/>
        </w:rPr>
        <w:t xml:space="preserve"> </w:t>
      </w:r>
    </w:p>
    <w:p w14:paraId="440F3E5A" w14:textId="77777777" w:rsidR="00FE3845" w:rsidRPr="00FE2A40" w:rsidRDefault="00FE3845" w:rsidP="00FE3845">
      <w:pPr>
        <w:pStyle w:val="BodyText"/>
        <w:numPr>
          <w:ilvl w:val="0"/>
          <w:numId w:val="1"/>
        </w:numPr>
        <w:spacing w:after="0"/>
        <w:rPr>
          <w:sz w:val="22"/>
        </w:rPr>
      </w:pPr>
      <w:r w:rsidRPr="00FE2A40">
        <w:rPr>
          <w:sz w:val="22"/>
        </w:rPr>
        <w:t xml:space="preserve">Proximally - deep attachments of the palmar fascia, together with their lateral attachments to the tendon sheaths </w:t>
      </w:r>
    </w:p>
    <w:p w14:paraId="6DCEBFCA" w14:textId="77777777" w:rsidR="00FE3845" w:rsidRPr="00FE2A40" w:rsidRDefault="00FE3845" w:rsidP="00FE3845">
      <w:pPr>
        <w:pStyle w:val="Heading2"/>
      </w:pPr>
      <w:r w:rsidRPr="00FE2A40">
        <w:t>Deep palmar space</w:t>
      </w:r>
    </w:p>
    <w:p w14:paraId="2FA09A6D" w14:textId="77777777" w:rsidR="00FE3845" w:rsidRPr="00FE2A40" w:rsidRDefault="00FE3845" w:rsidP="00FE3845">
      <w:pPr>
        <w:pStyle w:val="BodyText"/>
        <w:numPr>
          <w:ilvl w:val="0"/>
          <w:numId w:val="2"/>
        </w:numPr>
        <w:rPr>
          <w:sz w:val="22"/>
        </w:rPr>
      </w:pPr>
      <w:r w:rsidRPr="00FE2A40">
        <w:rPr>
          <w:sz w:val="22"/>
        </w:rPr>
        <w:t>Complex three-dimensional space limited proximally by the carpal tunnel</w:t>
      </w:r>
    </w:p>
    <w:p w14:paraId="3F510CC2" w14:textId="77777777" w:rsidR="00FE3845" w:rsidRPr="00FE2A40" w:rsidRDefault="00FE3845" w:rsidP="00FE3845">
      <w:pPr>
        <w:pStyle w:val="BodyText"/>
        <w:numPr>
          <w:ilvl w:val="0"/>
          <w:numId w:val="2"/>
        </w:numPr>
        <w:rPr>
          <w:sz w:val="22"/>
        </w:rPr>
      </w:pPr>
      <w:r w:rsidRPr="00FE2A40">
        <w:rPr>
          <w:sz w:val="22"/>
        </w:rPr>
        <w:t>Lies deep to the palmar aponeurosis, between the radial and ulnar condensations of vertical fibres which connect the palmar aponeurosis to the thenar and hypothenar eminences</w:t>
      </w:r>
    </w:p>
    <w:p w14:paraId="23633B0E" w14:textId="77777777" w:rsidR="00FE3845" w:rsidRPr="00FE2A40" w:rsidRDefault="00FE3845" w:rsidP="00FE3845">
      <w:pPr>
        <w:pStyle w:val="BodyText"/>
        <w:numPr>
          <w:ilvl w:val="0"/>
          <w:numId w:val="2"/>
        </w:numPr>
        <w:rPr>
          <w:sz w:val="22"/>
        </w:rPr>
      </w:pPr>
      <w:r w:rsidRPr="00FE2A40">
        <w:rPr>
          <w:sz w:val="22"/>
        </w:rPr>
        <w:t>Partitions that pass deeply from the longitudinal bands of the palmar aponeurosis form eight narrow compartments: four contain the digital flexor tendons and four contain the lumbricals and the neurovascular bundles</w:t>
      </w:r>
    </w:p>
    <w:p w14:paraId="30DD53FD" w14:textId="77777777" w:rsidR="00FE3845" w:rsidRPr="00FE2A40" w:rsidRDefault="00FE3845" w:rsidP="00FE3845">
      <w:pPr>
        <w:pStyle w:val="Heading2"/>
      </w:pPr>
      <w:r w:rsidRPr="00FE2A40">
        <w:t>Pulp spaces</w:t>
      </w:r>
    </w:p>
    <w:p w14:paraId="35EBEAD3" w14:textId="77777777" w:rsidR="00FE3845" w:rsidRPr="00FE2A40" w:rsidRDefault="00FE3845" w:rsidP="00FE3845">
      <w:pPr>
        <w:pStyle w:val="BodyText"/>
        <w:numPr>
          <w:ilvl w:val="0"/>
          <w:numId w:val="2"/>
        </w:numPr>
        <w:rPr>
          <w:sz w:val="22"/>
        </w:rPr>
      </w:pPr>
      <w:r w:rsidRPr="00FE2A40">
        <w:rPr>
          <w:sz w:val="22"/>
        </w:rPr>
        <w:t>Confined compartments bounded by the digital creases which overlie the joints</w:t>
      </w:r>
    </w:p>
    <w:p w14:paraId="369C794B" w14:textId="77777777" w:rsidR="00FE3845" w:rsidRDefault="00FE3845" w:rsidP="00FE3845">
      <w:pPr>
        <w:pStyle w:val="BodyText"/>
        <w:numPr>
          <w:ilvl w:val="0"/>
          <w:numId w:val="2"/>
        </w:numPr>
        <w:rPr>
          <w:sz w:val="22"/>
        </w:rPr>
      </w:pPr>
      <w:r w:rsidRPr="00FE2A40">
        <w:rPr>
          <w:sz w:val="22"/>
        </w:rPr>
        <w:t>Attached to the underlying pulleys</w:t>
      </w:r>
    </w:p>
    <w:p w14:paraId="2BE60784" w14:textId="4792F3D0" w:rsidR="00FE3845" w:rsidRPr="00FE2A40" w:rsidRDefault="00FE3845" w:rsidP="00FE3845">
      <w:pPr>
        <w:pStyle w:val="BodyText"/>
        <w:ind w:left="720"/>
        <w:jc w:val="center"/>
        <w:rPr>
          <w:sz w:val="22"/>
        </w:rPr>
      </w:pPr>
      <w:r>
        <w:rPr>
          <w:noProof/>
        </w:rPr>
        <w:drawing>
          <wp:inline distT="0" distB="0" distL="0" distR="0" wp14:anchorId="7EA3EC09" wp14:editId="026D470E">
            <wp:extent cx="5731510" cy="4048760"/>
            <wp:effectExtent l="0" t="0" r="0" b="0"/>
            <wp:docPr id="1859634375" name="Picture 4" descr="A black background with a white and green 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34375" name="Picture 4" descr="A black background with a white and green bu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48760"/>
                    </a:xfrm>
                    <a:prstGeom prst="rect">
                      <a:avLst/>
                    </a:prstGeom>
                    <a:noFill/>
                    <a:ln>
                      <a:noFill/>
                    </a:ln>
                  </pic:spPr>
                </pic:pic>
              </a:graphicData>
            </a:graphic>
          </wp:inline>
        </w:drawing>
      </w:r>
    </w:p>
    <w:p w14:paraId="32BB218E" w14:textId="77777777" w:rsidR="00FE3845" w:rsidRDefault="00FE3845" w:rsidP="00FE3845">
      <w:pPr>
        <w:pStyle w:val="Heading2"/>
      </w:pPr>
      <w:r w:rsidRPr="00FE2A40">
        <w:lastRenderedPageBreak/>
        <w:t>Forearm space of Parona</w:t>
      </w:r>
    </w:p>
    <w:p w14:paraId="50030CD1" w14:textId="77777777" w:rsidR="00FE3845" w:rsidRPr="00FE2A40" w:rsidRDefault="00FE3845" w:rsidP="00FE3845">
      <w:pPr>
        <w:pStyle w:val="BodyText"/>
        <w:spacing w:after="0" w:line="240" w:lineRule="auto"/>
        <w:jc w:val="center"/>
        <w:rPr>
          <w:sz w:val="22"/>
        </w:rPr>
      </w:pPr>
      <w:r w:rsidRPr="00EB7FDA">
        <w:rPr>
          <w:noProof/>
          <w:sz w:val="22"/>
          <w:lang w:val="en-IN" w:eastAsia="en-IN"/>
        </w:rPr>
        <w:drawing>
          <wp:inline distT="0" distB="0" distL="0" distR="0" wp14:anchorId="58C92BFD" wp14:editId="38A97CC0">
            <wp:extent cx="1788788" cy="1617260"/>
            <wp:effectExtent l="0" t="0" r="2540" b="2540"/>
            <wp:docPr id="12290" name="Picture 2" descr="http://www.healio.com/orthopedics/journals/ortho/%7Bcdec36f6-1e8c-40dc-a1f5-83a1a25bf1a7%7D/~/media/Journals/ORTHO/2011/12_December/10_3928_01477447_20110714_18/fig1.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http://www.healio.com/orthopedics/journals/ortho/%7Bcdec36f6-1e8c-40dc-a1f5-83a1a25bf1a7%7D/~/media/Journals/ORTHO/2011/12_December/10_3928_01477447_20110714_18/fig1.ash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1059" cy="1619313"/>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p>
    <w:p w14:paraId="200F8BAA" w14:textId="77777777" w:rsidR="00FE3845" w:rsidRPr="00FE2A40" w:rsidRDefault="00FE3845" w:rsidP="00FE3845">
      <w:pPr>
        <w:pStyle w:val="BodyText"/>
        <w:numPr>
          <w:ilvl w:val="0"/>
          <w:numId w:val="2"/>
        </w:numPr>
        <w:spacing w:after="0" w:line="240" w:lineRule="auto"/>
        <w:rPr>
          <w:sz w:val="22"/>
        </w:rPr>
      </w:pPr>
      <w:r w:rsidRPr="00FE2A40">
        <w:rPr>
          <w:sz w:val="22"/>
        </w:rPr>
        <w:t xml:space="preserve">Boundaries </w:t>
      </w:r>
    </w:p>
    <w:p w14:paraId="0F6DB527" w14:textId="77777777" w:rsidR="00FE3845" w:rsidRPr="00FE2A40" w:rsidRDefault="00FE3845" w:rsidP="00FE3845">
      <w:pPr>
        <w:pStyle w:val="BodyText"/>
        <w:numPr>
          <w:ilvl w:val="1"/>
          <w:numId w:val="2"/>
        </w:numPr>
        <w:spacing w:after="0" w:line="240" w:lineRule="auto"/>
        <w:rPr>
          <w:sz w:val="22"/>
        </w:rPr>
      </w:pPr>
      <w:r>
        <w:rPr>
          <w:sz w:val="22"/>
        </w:rPr>
        <w:t>Deep</w:t>
      </w:r>
      <w:r w:rsidRPr="00FE2A40">
        <w:rPr>
          <w:sz w:val="22"/>
        </w:rPr>
        <w:t xml:space="preserve">: pronator quadratus; </w:t>
      </w:r>
    </w:p>
    <w:p w14:paraId="7ECB5C13" w14:textId="77777777" w:rsidR="00FE3845" w:rsidRDefault="00FE3845" w:rsidP="00FE3845">
      <w:pPr>
        <w:pStyle w:val="BodyText"/>
        <w:numPr>
          <w:ilvl w:val="1"/>
          <w:numId w:val="2"/>
        </w:numPr>
        <w:spacing w:after="0" w:line="240" w:lineRule="auto"/>
        <w:rPr>
          <w:sz w:val="22"/>
        </w:rPr>
      </w:pPr>
      <w:r w:rsidRPr="00EB7FDA">
        <w:rPr>
          <w:sz w:val="22"/>
        </w:rPr>
        <w:t>Superficial: flexor carpi ulnaris, flexor digitorum profundus</w:t>
      </w:r>
      <w:r>
        <w:rPr>
          <w:sz w:val="22"/>
        </w:rPr>
        <w:t xml:space="preserve">, </w:t>
      </w:r>
      <w:r w:rsidRPr="00EB7FDA">
        <w:rPr>
          <w:sz w:val="22"/>
        </w:rPr>
        <w:t>median nerve</w:t>
      </w:r>
      <w:r>
        <w:rPr>
          <w:sz w:val="22"/>
        </w:rPr>
        <w:t xml:space="preserve">, flexor pollicis longus </w:t>
      </w:r>
    </w:p>
    <w:p w14:paraId="5A984CF9" w14:textId="77777777" w:rsidR="00FE3845" w:rsidRPr="00EB7FDA" w:rsidRDefault="00FE3845" w:rsidP="00FE3845">
      <w:pPr>
        <w:pStyle w:val="BodyText"/>
        <w:numPr>
          <w:ilvl w:val="1"/>
          <w:numId w:val="2"/>
        </w:numPr>
        <w:spacing w:after="0" w:line="240" w:lineRule="auto"/>
        <w:rPr>
          <w:sz w:val="22"/>
        </w:rPr>
      </w:pPr>
      <w:r>
        <w:rPr>
          <w:sz w:val="22"/>
        </w:rPr>
        <w:t>Distally – continues with midpalmar space</w:t>
      </w:r>
    </w:p>
    <w:p w14:paraId="1FCDC0E7" w14:textId="77777777" w:rsidR="00FE3845" w:rsidRPr="00FE2A40" w:rsidRDefault="00FE3845" w:rsidP="00FE3845">
      <w:pPr>
        <w:pStyle w:val="Heading2"/>
      </w:pPr>
      <w:r w:rsidRPr="00FE2A40">
        <w:t>Nail fold</w:t>
      </w:r>
      <w:r>
        <w:t xml:space="preserve"> space</w:t>
      </w:r>
    </w:p>
    <w:p w14:paraId="336E2C98" w14:textId="77777777" w:rsidR="00FE3845" w:rsidRPr="00FE2A40" w:rsidRDefault="00FE3845" w:rsidP="00FE3845">
      <w:pPr>
        <w:pStyle w:val="BodyText"/>
        <w:numPr>
          <w:ilvl w:val="0"/>
          <w:numId w:val="2"/>
        </w:numPr>
        <w:spacing w:after="0"/>
        <w:rPr>
          <w:sz w:val="22"/>
        </w:rPr>
      </w:pPr>
      <w:r w:rsidRPr="00FE2A40">
        <w:rPr>
          <w:sz w:val="22"/>
        </w:rPr>
        <w:t xml:space="preserve">‘U-shaped' space </w:t>
      </w:r>
    </w:p>
    <w:p w14:paraId="24B1926C" w14:textId="77777777" w:rsidR="00FE3845" w:rsidRPr="00FE2A40" w:rsidRDefault="00FE3845" w:rsidP="00FE3845">
      <w:pPr>
        <w:pStyle w:val="BodyText"/>
        <w:numPr>
          <w:ilvl w:val="0"/>
          <w:numId w:val="2"/>
        </w:numPr>
        <w:spacing w:after="0"/>
        <w:rPr>
          <w:sz w:val="22"/>
        </w:rPr>
      </w:pPr>
      <w:r>
        <w:rPr>
          <w:sz w:val="22"/>
        </w:rPr>
        <w:t>Between e</w:t>
      </w:r>
      <w:r w:rsidRPr="00FE2A40">
        <w:rPr>
          <w:sz w:val="22"/>
        </w:rPr>
        <w:t>ponychium and the lateral nail fold</w:t>
      </w:r>
    </w:p>
    <w:p w14:paraId="4B4AEC7C" w14:textId="77777777" w:rsidR="00FE3845" w:rsidRDefault="00FE3845" w:rsidP="00FE3845">
      <w:pPr>
        <w:jc w:val="center"/>
      </w:pPr>
      <w:r w:rsidRPr="00EB7FDA">
        <w:rPr>
          <w:noProof/>
          <w:lang w:eastAsia="en-IN"/>
        </w:rPr>
        <w:drawing>
          <wp:inline distT="0" distB="0" distL="0" distR="0" wp14:anchorId="5923A48B" wp14:editId="476C5DAF">
            <wp:extent cx="2863516" cy="2312251"/>
            <wp:effectExtent l="0" t="0" r="0" b="0"/>
            <wp:docPr id="2050" name="Picture 2" descr="http://www.nail-solutions.co.uk/nsimages/Nail%20anatom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www.nail-solutions.co.uk/nsimages/Nail%20anatomy.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1816" cy="2318953"/>
                    </a:xfrm>
                    <a:prstGeom prst="rect">
                      <a:avLst/>
                    </a:prstGeom>
                    <a:noFill/>
                  </pic:spPr>
                </pic:pic>
              </a:graphicData>
            </a:graphic>
          </wp:inline>
        </w:drawing>
      </w:r>
    </w:p>
    <w:p w14:paraId="145F342E" w14:textId="3A527C57" w:rsidR="00FE3845" w:rsidRPr="00C33CF9" w:rsidRDefault="00FE3845" w:rsidP="00FE3845">
      <w:pPr>
        <w:pStyle w:val="Heading2"/>
      </w:pPr>
      <w:r w:rsidRPr="00C33CF9">
        <w:t xml:space="preserve">Infection in the hand </w:t>
      </w:r>
    </w:p>
    <w:p w14:paraId="2361881A" w14:textId="77777777" w:rsidR="00FE3845" w:rsidRDefault="00FE3845" w:rsidP="00FE3845">
      <w:r>
        <w:t xml:space="preserve">Effects of infection of hand can be devastating as it leads to severe pain and loss of functionality. </w:t>
      </w:r>
    </w:p>
    <w:p w14:paraId="6FAF1A8B" w14:textId="77777777" w:rsidR="00FE3845" w:rsidRDefault="00FE3845" w:rsidP="00FE3845">
      <w:r>
        <w:t xml:space="preserve">Pus can get collected in the deep palmar spaces – thenar or midpalmar space </w:t>
      </w:r>
    </w:p>
    <w:p w14:paraId="2B9A432E" w14:textId="77777777" w:rsidR="00FE3845" w:rsidRDefault="00FE3845" w:rsidP="00FE3845">
      <w:r>
        <w:t>Pus in these two spaces can be tapped via lubrical canals by passing into the web space</w:t>
      </w:r>
    </w:p>
    <w:p w14:paraId="580FF8C7" w14:textId="77777777" w:rsidR="00FE3845" w:rsidRDefault="00FE3845" w:rsidP="00FE3845">
      <w:r>
        <w:t>Pus can get accumulated in the finger</w:t>
      </w:r>
    </w:p>
    <w:p w14:paraId="77C7C58D" w14:textId="09B6105A" w:rsidR="00FE3845" w:rsidRDefault="00FE3845" w:rsidP="00FE3845">
      <w:r>
        <w:rPr>
          <w:noProof/>
        </w:rPr>
        <w:lastRenderedPageBreak/>
        <w:drawing>
          <wp:inline distT="0" distB="0" distL="0" distR="0" wp14:anchorId="4A20FD08" wp14:editId="1D38279C">
            <wp:extent cx="5731510" cy="4563745"/>
            <wp:effectExtent l="0" t="0" r="0" b="0"/>
            <wp:docPr id="1821401533" name="Picture 2" descr="A drawing of a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01533" name="Picture 2" descr="A drawing of a tan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63745"/>
                    </a:xfrm>
                    <a:prstGeom prst="rect">
                      <a:avLst/>
                    </a:prstGeom>
                    <a:noFill/>
                    <a:ln>
                      <a:noFill/>
                    </a:ln>
                  </pic:spPr>
                </pic:pic>
              </a:graphicData>
            </a:graphic>
          </wp:inline>
        </w:drawing>
      </w:r>
    </w:p>
    <w:p w14:paraId="4954C7E8" w14:textId="77777777" w:rsidR="00FE3845" w:rsidRDefault="00FE3845" w:rsidP="00FE3845">
      <w:r w:rsidRPr="00C33CF9">
        <w:rPr>
          <w:b/>
        </w:rPr>
        <w:t>Paronychia</w:t>
      </w:r>
      <w:r>
        <w:t xml:space="preserve"> – is infection of eponychium </w:t>
      </w:r>
    </w:p>
    <w:p w14:paraId="44826FE7" w14:textId="473EB70E" w:rsidR="00FE3845" w:rsidRDefault="00FE3845" w:rsidP="00FE3845">
      <w:r w:rsidRPr="00C33CF9">
        <w:rPr>
          <w:b/>
        </w:rPr>
        <w:t>Digital pulp space infection (or Felon</w:t>
      </w:r>
      <w:r>
        <w:rPr>
          <w:b/>
        </w:rPr>
        <w:t xml:space="preserve">, </w:t>
      </w:r>
      <w:r w:rsidRPr="00C33CF9">
        <w:rPr>
          <w:b/>
        </w:rPr>
        <w:t>Whitlow)</w:t>
      </w:r>
      <w:r>
        <w:t xml:space="preserve"> – is the infection of digital pulp space. Since it is a tight compartment, pus accumulation can cause severe pain. Infection can penetrate deep up to the bone. </w:t>
      </w:r>
    </w:p>
    <w:p w14:paraId="4DA2882C" w14:textId="77777777" w:rsidR="00E078BA" w:rsidRDefault="00E078BA" w:rsidP="00FE3845"/>
    <w:p w14:paraId="3FE77B3D" w14:textId="78538ACD" w:rsidR="00E078BA" w:rsidRDefault="00E078BA" w:rsidP="00FE3845">
      <w:r>
        <w:t>___MCQ_START___</w:t>
      </w:r>
    </w:p>
    <w:p w14:paraId="4444D99F" w14:textId="77777777" w:rsidR="00E078BA" w:rsidRPr="00E078BA" w:rsidRDefault="00E078BA" w:rsidP="00E078BA">
      <w:r w:rsidRPr="00E078BA">
        <w:t>Q1. Which is the most common deep space of the hand involved in infections?</w:t>
      </w:r>
    </w:p>
    <w:p w14:paraId="205D823A" w14:textId="77777777" w:rsidR="00E078BA" w:rsidRPr="00E078BA" w:rsidRDefault="00E078BA" w:rsidP="00E078BA">
      <w:r w:rsidRPr="00E078BA">
        <w:t>A. Pulp space</w:t>
      </w:r>
    </w:p>
    <w:p w14:paraId="3E59C044" w14:textId="77777777" w:rsidR="00E078BA" w:rsidRPr="00E078BA" w:rsidRDefault="00E078BA" w:rsidP="00E078BA">
      <w:r w:rsidRPr="00E078BA">
        <w:t>B. Web space</w:t>
      </w:r>
    </w:p>
    <w:p w14:paraId="1431B856" w14:textId="77777777" w:rsidR="00E078BA" w:rsidRPr="00E078BA" w:rsidRDefault="00E078BA" w:rsidP="00E078BA">
      <w:r w:rsidRPr="00E078BA">
        <w:t>C. Thenar space</w:t>
      </w:r>
    </w:p>
    <w:p w14:paraId="52798798" w14:textId="77777777" w:rsidR="00E078BA" w:rsidRPr="00E078BA" w:rsidRDefault="00E078BA" w:rsidP="00E078BA">
      <w:r w:rsidRPr="00E078BA">
        <w:t>D. Midpalmar space [CORRECT]</w:t>
      </w:r>
    </w:p>
    <w:p w14:paraId="1B53AF95" w14:textId="14406301" w:rsidR="00E078BA" w:rsidRPr="00E078BA" w:rsidRDefault="00E078BA" w:rsidP="00E078BA">
      <w:r>
        <w:t>___</w:t>
      </w:r>
    </w:p>
    <w:p w14:paraId="7483A70A" w14:textId="77777777" w:rsidR="00E078BA" w:rsidRPr="00E078BA" w:rsidRDefault="00E078BA" w:rsidP="00E078BA">
      <w:r w:rsidRPr="00E078BA">
        <w:t>Q2. The thenar space of the hand lies:</w:t>
      </w:r>
    </w:p>
    <w:p w14:paraId="79AC2882" w14:textId="77777777" w:rsidR="00E078BA" w:rsidRPr="00E078BA" w:rsidRDefault="00E078BA" w:rsidP="00E078BA">
      <w:r w:rsidRPr="00E078BA">
        <w:t>A. Between palmar aponeurosis and flexor tendons</w:t>
      </w:r>
    </w:p>
    <w:p w14:paraId="5C9B096C" w14:textId="77777777" w:rsidR="00E078BA" w:rsidRPr="00E078BA" w:rsidRDefault="00E078BA" w:rsidP="00E078BA">
      <w:r w:rsidRPr="00E078BA">
        <w:t>B. Between flexor tendons and metacarpals</w:t>
      </w:r>
    </w:p>
    <w:p w14:paraId="42C55A5D" w14:textId="77777777" w:rsidR="00E078BA" w:rsidRPr="00E078BA" w:rsidRDefault="00E078BA" w:rsidP="00E078BA">
      <w:r w:rsidRPr="00E078BA">
        <w:lastRenderedPageBreak/>
        <w:t>C. Lateral to the midpalmar space, beneath the thenar muscles [CORRECT]</w:t>
      </w:r>
    </w:p>
    <w:p w14:paraId="41A8B7E2" w14:textId="28286B5E" w:rsidR="00E078BA" w:rsidRPr="00E078BA" w:rsidRDefault="00E078BA" w:rsidP="00E078BA">
      <w:r w:rsidRPr="00E078BA">
        <w:t>D. Between dorsal interossei muscles</w:t>
      </w:r>
    </w:p>
    <w:p w14:paraId="6B25C784" w14:textId="3567A4C6" w:rsidR="00D674B7" w:rsidRDefault="00E078BA">
      <w:r>
        <w:t>___</w:t>
      </w:r>
    </w:p>
    <w:p w14:paraId="6B02F9F2" w14:textId="77777777" w:rsidR="00E078BA" w:rsidRDefault="00E078BA" w:rsidP="00E078BA">
      <w:r w:rsidRPr="00E078BA">
        <w:t>Q3. The midpalmar space is located:</w:t>
      </w:r>
      <w:r w:rsidRPr="00E078BA">
        <w:br/>
        <w:t>A. Between skin and palmar aponeurosis</w:t>
      </w:r>
      <w:r w:rsidRPr="00E078BA">
        <w:br/>
        <w:t>B. Deep to flexor tendons of medial three digits [CORRECT]</w:t>
      </w:r>
      <w:r w:rsidRPr="00E078BA">
        <w:br/>
        <w:t>C. Lateral to flexor pollicis longus tendon</w:t>
      </w:r>
      <w:r w:rsidRPr="00E078BA">
        <w:br/>
        <w:t>D. Between dorsal interossei muscles</w:t>
      </w:r>
    </w:p>
    <w:p w14:paraId="5D6EB7DE" w14:textId="224D97CF" w:rsidR="00E078BA" w:rsidRPr="00E078BA" w:rsidRDefault="00E078BA" w:rsidP="00E078BA">
      <w:r>
        <w:t>___</w:t>
      </w:r>
    </w:p>
    <w:p w14:paraId="4AAF6045" w14:textId="77777777" w:rsidR="00E078BA" w:rsidRDefault="00E078BA" w:rsidP="00E078BA">
      <w:r w:rsidRPr="00E078BA">
        <w:t>Q4. Infection of the pulp space of a finger is termed:</w:t>
      </w:r>
      <w:r w:rsidRPr="00E078BA">
        <w:br/>
        <w:t>A. Felon [CORRECT]</w:t>
      </w:r>
      <w:r w:rsidRPr="00E078BA">
        <w:br/>
        <w:t>B. Whitlow</w:t>
      </w:r>
      <w:r w:rsidRPr="00E078BA">
        <w:br/>
        <w:t>C. Paronychia</w:t>
      </w:r>
      <w:r w:rsidRPr="00E078BA">
        <w:br/>
        <w:t>D. Ganglion</w:t>
      </w:r>
    </w:p>
    <w:p w14:paraId="5B28FE34" w14:textId="482C3A1C" w:rsidR="00E078BA" w:rsidRDefault="00E078BA" w:rsidP="00E078BA">
      <w:r>
        <w:t>___</w:t>
      </w:r>
    </w:p>
    <w:p w14:paraId="1B878EBA" w14:textId="77777777" w:rsidR="00E078BA" w:rsidRPr="00E078BA" w:rsidRDefault="00E078BA" w:rsidP="00E078BA">
      <w:r w:rsidRPr="00E078BA">
        <w:t>Q5. Which space of the hand is most likely to be involved in a “collar button” abscess?</w:t>
      </w:r>
      <w:r w:rsidRPr="00E078BA">
        <w:br/>
        <w:t>A. Pulp space</w:t>
      </w:r>
      <w:r w:rsidRPr="00E078BA">
        <w:br/>
        <w:t>B. Web space [CORRECT]</w:t>
      </w:r>
      <w:r w:rsidRPr="00E078BA">
        <w:br/>
        <w:t>C. Thenar space</w:t>
      </w:r>
      <w:r w:rsidRPr="00E078BA">
        <w:br/>
        <w:t>D. Midpalmar space</w:t>
      </w:r>
    </w:p>
    <w:p w14:paraId="3A7B4572" w14:textId="56149D0F" w:rsidR="00E078BA" w:rsidRPr="00E078BA" w:rsidRDefault="00E078BA" w:rsidP="00E078BA">
      <w:r>
        <w:t>___</w:t>
      </w:r>
    </w:p>
    <w:p w14:paraId="2623F205" w14:textId="77777777" w:rsidR="00E078BA" w:rsidRPr="00E078BA" w:rsidRDefault="00E078BA" w:rsidP="00E078BA">
      <w:r w:rsidRPr="00E078BA">
        <w:t>Q6. The midpalmar space communicates proximally with which anatomical space?</w:t>
      </w:r>
      <w:r w:rsidRPr="00E078BA">
        <w:br/>
        <w:t>A. Thenar space</w:t>
      </w:r>
      <w:r w:rsidRPr="00E078BA">
        <w:br/>
        <w:t>B. Subcutaneous space</w:t>
      </w:r>
      <w:r w:rsidRPr="00E078BA">
        <w:br/>
        <w:t>C. Space of Parona [CORRECT]</w:t>
      </w:r>
      <w:r w:rsidRPr="00E078BA">
        <w:br/>
        <w:t>D. Anatomical snuffbox</w:t>
      </w:r>
    </w:p>
    <w:p w14:paraId="38971331" w14:textId="47F57ECA" w:rsidR="00E078BA" w:rsidRDefault="00E078BA" w:rsidP="00E078BA">
      <w:r>
        <w:t>___</w:t>
      </w:r>
    </w:p>
    <w:p w14:paraId="2089E899" w14:textId="1A37468F" w:rsidR="00E078BA" w:rsidRPr="00E078BA" w:rsidRDefault="00E078BA" w:rsidP="00E078BA">
      <w:r>
        <w:t>___MCQ_END___</w:t>
      </w:r>
    </w:p>
    <w:p w14:paraId="17A90DEC" w14:textId="77777777" w:rsidR="00E078BA" w:rsidRDefault="00E078BA"/>
    <w:sectPr w:rsidR="00E07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734C3"/>
    <w:multiLevelType w:val="hybridMultilevel"/>
    <w:tmpl w:val="C92C1B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39123C2"/>
    <w:multiLevelType w:val="hybridMultilevel"/>
    <w:tmpl w:val="05029A76"/>
    <w:lvl w:ilvl="0" w:tplc="2298A8DC">
      <w:start w:val="1"/>
      <w:numFmt w:val="bullet"/>
      <w:lvlText w:val="•"/>
      <w:lvlJc w:val="left"/>
      <w:pPr>
        <w:tabs>
          <w:tab w:val="num" w:pos="720"/>
        </w:tabs>
        <w:ind w:left="720" w:hanging="360"/>
      </w:pPr>
      <w:rPr>
        <w:rFonts w:ascii="Arial" w:hAnsi="Arial" w:hint="default"/>
      </w:rPr>
    </w:lvl>
    <w:lvl w:ilvl="1" w:tplc="94AAE884">
      <w:start w:val="1"/>
      <w:numFmt w:val="bullet"/>
      <w:lvlText w:val="•"/>
      <w:lvlJc w:val="left"/>
      <w:pPr>
        <w:tabs>
          <w:tab w:val="num" w:pos="1440"/>
        </w:tabs>
        <w:ind w:left="1440" w:hanging="360"/>
      </w:pPr>
      <w:rPr>
        <w:rFonts w:ascii="Arial" w:hAnsi="Arial" w:hint="default"/>
      </w:rPr>
    </w:lvl>
    <w:lvl w:ilvl="2" w:tplc="9EC2FF88">
      <w:start w:val="1"/>
      <w:numFmt w:val="bullet"/>
      <w:lvlText w:val="•"/>
      <w:lvlJc w:val="left"/>
      <w:pPr>
        <w:tabs>
          <w:tab w:val="num" w:pos="2160"/>
        </w:tabs>
        <w:ind w:left="2160" w:hanging="360"/>
      </w:pPr>
      <w:rPr>
        <w:rFonts w:ascii="Arial" w:hAnsi="Arial" w:hint="default"/>
      </w:rPr>
    </w:lvl>
    <w:lvl w:ilvl="3" w:tplc="AB02E0A0" w:tentative="1">
      <w:start w:val="1"/>
      <w:numFmt w:val="bullet"/>
      <w:lvlText w:val="•"/>
      <w:lvlJc w:val="left"/>
      <w:pPr>
        <w:tabs>
          <w:tab w:val="num" w:pos="2880"/>
        </w:tabs>
        <w:ind w:left="2880" w:hanging="360"/>
      </w:pPr>
      <w:rPr>
        <w:rFonts w:ascii="Arial" w:hAnsi="Arial" w:hint="default"/>
      </w:rPr>
    </w:lvl>
    <w:lvl w:ilvl="4" w:tplc="DC6A6C10" w:tentative="1">
      <w:start w:val="1"/>
      <w:numFmt w:val="bullet"/>
      <w:lvlText w:val="•"/>
      <w:lvlJc w:val="left"/>
      <w:pPr>
        <w:tabs>
          <w:tab w:val="num" w:pos="3600"/>
        </w:tabs>
        <w:ind w:left="3600" w:hanging="360"/>
      </w:pPr>
      <w:rPr>
        <w:rFonts w:ascii="Arial" w:hAnsi="Arial" w:hint="default"/>
      </w:rPr>
    </w:lvl>
    <w:lvl w:ilvl="5" w:tplc="2500E090" w:tentative="1">
      <w:start w:val="1"/>
      <w:numFmt w:val="bullet"/>
      <w:lvlText w:val="•"/>
      <w:lvlJc w:val="left"/>
      <w:pPr>
        <w:tabs>
          <w:tab w:val="num" w:pos="4320"/>
        </w:tabs>
        <w:ind w:left="4320" w:hanging="360"/>
      </w:pPr>
      <w:rPr>
        <w:rFonts w:ascii="Arial" w:hAnsi="Arial" w:hint="default"/>
      </w:rPr>
    </w:lvl>
    <w:lvl w:ilvl="6" w:tplc="71542244" w:tentative="1">
      <w:start w:val="1"/>
      <w:numFmt w:val="bullet"/>
      <w:lvlText w:val="•"/>
      <w:lvlJc w:val="left"/>
      <w:pPr>
        <w:tabs>
          <w:tab w:val="num" w:pos="5040"/>
        </w:tabs>
        <w:ind w:left="5040" w:hanging="360"/>
      </w:pPr>
      <w:rPr>
        <w:rFonts w:ascii="Arial" w:hAnsi="Arial" w:hint="default"/>
      </w:rPr>
    </w:lvl>
    <w:lvl w:ilvl="7" w:tplc="03809512" w:tentative="1">
      <w:start w:val="1"/>
      <w:numFmt w:val="bullet"/>
      <w:lvlText w:val="•"/>
      <w:lvlJc w:val="left"/>
      <w:pPr>
        <w:tabs>
          <w:tab w:val="num" w:pos="5760"/>
        </w:tabs>
        <w:ind w:left="5760" w:hanging="360"/>
      </w:pPr>
      <w:rPr>
        <w:rFonts w:ascii="Arial" w:hAnsi="Arial" w:hint="default"/>
      </w:rPr>
    </w:lvl>
    <w:lvl w:ilvl="8" w:tplc="5D7A92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1FC17EE"/>
    <w:multiLevelType w:val="hybridMultilevel"/>
    <w:tmpl w:val="5FA81E04"/>
    <w:lvl w:ilvl="0" w:tplc="ED682CC2">
      <w:start w:val="1"/>
      <w:numFmt w:val="bullet"/>
      <w:lvlText w:val="•"/>
      <w:lvlJc w:val="left"/>
      <w:pPr>
        <w:tabs>
          <w:tab w:val="num" w:pos="720"/>
        </w:tabs>
        <w:ind w:left="720" w:hanging="360"/>
      </w:pPr>
      <w:rPr>
        <w:rFonts w:ascii="Arial" w:hAnsi="Arial" w:hint="default"/>
      </w:rPr>
    </w:lvl>
    <w:lvl w:ilvl="1" w:tplc="73061F96">
      <w:start w:val="49"/>
      <w:numFmt w:val="bullet"/>
      <w:lvlText w:val="–"/>
      <w:lvlJc w:val="left"/>
      <w:pPr>
        <w:tabs>
          <w:tab w:val="num" w:pos="1440"/>
        </w:tabs>
        <w:ind w:left="1440" w:hanging="360"/>
      </w:pPr>
      <w:rPr>
        <w:rFonts w:ascii="Arial" w:hAnsi="Arial" w:hint="default"/>
      </w:rPr>
    </w:lvl>
    <w:lvl w:ilvl="2" w:tplc="2A6004FE">
      <w:start w:val="1"/>
      <w:numFmt w:val="bullet"/>
      <w:lvlText w:val="•"/>
      <w:lvlJc w:val="left"/>
      <w:pPr>
        <w:tabs>
          <w:tab w:val="num" w:pos="2160"/>
        </w:tabs>
        <w:ind w:left="2160" w:hanging="360"/>
      </w:pPr>
      <w:rPr>
        <w:rFonts w:ascii="Arial" w:hAnsi="Arial" w:hint="default"/>
      </w:rPr>
    </w:lvl>
    <w:lvl w:ilvl="3" w:tplc="CCAA4C3E" w:tentative="1">
      <w:start w:val="1"/>
      <w:numFmt w:val="bullet"/>
      <w:lvlText w:val="•"/>
      <w:lvlJc w:val="left"/>
      <w:pPr>
        <w:tabs>
          <w:tab w:val="num" w:pos="2880"/>
        </w:tabs>
        <w:ind w:left="2880" w:hanging="360"/>
      </w:pPr>
      <w:rPr>
        <w:rFonts w:ascii="Arial" w:hAnsi="Arial" w:hint="default"/>
      </w:rPr>
    </w:lvl>
    <w:lvl w:ilvl="4" w:tplc="765C2C64" w:tentative="1">
      <w:start w:val="1"/>
      <w:numFmt w:val="bullet"/>
      <w:lvlText w:val="•"/>
      <w:lvlJc w:val="left"/>
      <w:pPr>
        <w:tabs>
          <w:tab w:val="num" w:pos="3600"/>
        </w:tabs>
        <w:ind w:left="3600" w:hanging="360"/>
      </w:pPr>
      <w:rPr>
        <w:rFonts w:ascii="Arial" w:hAnsi="Arial" w:hint="default"/>
      </w:rPr>
    </w:lvl>
    <w:lvl w:ilvl="5" w:tplc="4F886CAE" w:tentative="1">
      <w:start w:val="1"/>
      <w:numFmt w:val="bullet"/>
      <w:lvlText w:val="•"/>
      <w:lvlJc w:val="left"/>
      <w:pPr>
        <w:tabs>
          <w:tab w:val="num" w:pos="4320"/>
        </w:tabs>
        <w:ind w:left="4320" w:hanging="360"/>
      </w:pPr>
      <w:rPr>
        <w:rFonts w:ascii="Arial" w:hAnsi="Arial" w:hint="default"/>
      </w:rPr>
    </w:lvl>
    <w:lvl w:ilvl="6" w:tplc="CC6ABB9C" w:tentative="1">
      <w:start w:val="1"/>
      <w:numFmt w:val="bullet"/>
      <w:lvlText w:val="•"/>
      <w:lvlJc w:val="left"/>
      <w:pPr>
        <w:tabs>
          <w:tab w:val="num" w:pos="5040"/>
        </w:tabs>
        <w:ind w:left="5040" w:hanging="360"/>
      </w:pPr>
      <w:rPr>
        <w:rFonts w:ascii="Arial" w:hAnsi="Arial" w:hint="default"/>
      </w:rPr>
    </w:lvl>
    <w:lvl w:ilvl="7" w:tplc="DF5687AA" w:tentative="1">
      <w:start w:val="1"/>
      <w:numFmt w:val="bullet"/>
      <w:lvlText w:val="•"/>
      <w:lvlJc w:val="left"/>
      <w:pPr>
        <w:tabs>
          <w:tab w:val="num" w:pos="5760"/>
        </w:tabs>
        <w:ind w:left="5760" w:hanging="360"/>
      </w:pPr>
      <w:rPr>
        <w:rFonts w:ascii="Arial" w:hAnsi="Arial" w:hint="default"/>
      </w:rPr>
    </w:lvl>
    <w:lvl w:ilvl="8" w:tplc="089814A4" w:tentative="1">
      <w:start w:val="1"/>
      <w:numFmt w:val="bullet"/>
      <w:lvlText w:val="•"/>
      <w:lvlJc w:val="left"/>
      <w:pPr>
        <w:tabs>
          <w:tab w:val="num" w:pos="6480"/>
        </w:tabs>
        <w:ind w:left="6480" w:hanging="360"/>
      </w:pPr>
      <w:rPr>
        <w:rFonts w:ascii="Arial" w:hAnsi="Arial" w:hint="default"/>
      </w:rPr>
    </w:lvl>
  </w:abstractNum>
  <w:num w:numId="1" w16cid:durableId="192885559">
    <w:abstractNumId w:val="2"/>
  </w:num>
  <w:num w:numId="2" w16cid:durableId="2099594352">
    <w:abstractNumId w:val="1"/>
  </w:num>
  <w:num w:numId="3" w16cid:durableId="196446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45"/>
    <w:rsid w:val="004C2BF6"/>
    <w:rsid w:val="005E08F3"/>
    <w:rsid w:val="00AD7EC0"/>
    <w:rsid w:val="00D674B7"/>
    <w:rsid w:val="00E078BA"/>
    <w:rsid w:val="00E212B7"/>
    <w:rsid w:val="00FE384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5BA4"/>
  <w15:chartTrackingRefBased/>
  <w15:docId w15:val="{5CD6F6C7-DDF0-47D7-B69D-10A7872F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45"/>
    <w:pPr>
      <w:spacing w:line="259" w:lineRule="auto"/>
    </w:pPr>
    <w:rPr>
      <w:kern w:val="0"/>
      <w:sz w:val="22"/>
      <w:szCs w:val="22"/>
      <w14:ligatures w14:val="none"/>
    </w:rPr>
  </w:style>
  <w:style w:type="paragraph" w:styleId="Heading1">
    <w:name w:val="heading 1"/>
    <w:basedOn w:val="Normal"/>
    <w:next w:val="Normal"/>
    <w:link w:val="Heading1Char"/>
    <w:uiPriority w:val="9"/>
    <w:qFormat/>
    <w:rsid w:val="00FE3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rPr>
      <w:b/>
      <w:color w:val="A02B93" w:themeColor="accent5"/>
      <w:sz w:val="32"/>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rPr>
      <w:rFonts w:ascii="Cambria" w:hAnsi="Cambria"/>
      <w:color w:val="EE0000"/>
      <w:sz w:val="32"/>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rPr>
      <w:rFonts w:ascii="Candara" w:hAnsi="Candara"/>
      <w:color w:val="E97132" w:themeColor="accent2"/>
      <w:sz w:val="28"/>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FE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845"/>
    <w:rPr>
      <w:rFonts w:eastAsiaTheme="majorEastAsia" w:cstheme="majorBidi"/>
      <w:color w:val="272727" w:themeColor="text1" w:themeTint="D8"/>
    </w:rPr>
  </w:style>
  <w:style w:type="paragraph" w:styleId="Title">
    <w:name w:val="Title"/>
    <w:basedOn w:val="Normal"/>
    <w:next w:val="Normal"/>
    <w:link w:val="TitleChar"/>
    <w:uiPriority w:val="10"/>
    <w:qFormat/>
    <w:rsid w:val="00FE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845"/>
    <w:pPr>
      <w:spacing w:before="160"/>
      <w:jc w:val="center"/>
    </w:pPr>
    <w:rPr>
      <w:i/>
      <w:iCs/>
      <w:color w:val="404040" w:themeColor="text1" w:themeTint="BF"/>
    </w:rPr>
  </w:style>
  <w:style w:type="character" w:customStyle="1" w:styleId="QuoteChar">
    <w:name w:val="Quote Char"/>
    <w:basedOn w:val="DefaultParagraphFont"/>
    <w:link w:val="Quote"/>
    <w:uiPriority w:val="29"/>
    <w:rsid w:val="00FE3845"/>
    <w:rPr>
      <w:i/>
      <w:iCs/>
      <w:color w:val="404040" w:themeColor="text1" w:themeTint="BF"/>
    </w:rPr>
  </w:style>
  <w:style w:type="paragraph" w:styleId="ListParagraph">
    <w:name w:val="List Paragraph"/>
    <w:basedOn w:val="Normal"/>
    <w:uiPriority w:val="34"/>
    <w:qFormat/>
    <w:rsid w:val="00FE3845"/>
    <w:pPr>
      <w:ind w:left="720"/>
      <w:contextualSpacing/>
    </w:pPr>
  </w:style>
  <w:style w:type="character" w:styleId="IntenseEmphasis">
    <w:name w:val="Intense Emphasis"/>
    <w:basedOn w:val="DefaultParagraphFont"/>
    <w:uiPriority w:val="21"/>
    <w:qFormat/>
    <w:rsid w:val="00FE3845"/>
    <w:rPr>
      <w:i/>
      <w:iCs/>
      <w:color w:val="0F4761" w:themeColor="accent1" w:themeShade="BF"/>
    </w:rPr>
  </w:style>
  <w:style w:type="paragraph" w:styleId="IntenseQuote">
    <w:name w:val="Intense Quote"/>
    <w:basedOn w:val="Normal"/>
    <w:next w:val="Normal"/>
    <w:link w:val="IntenseQuoteChar"/>
    <w:uiPriority w:val="30"/>
    <w:qFormat/>
    <w:rsid w:val="00FE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845"/>
    <w:rPr>
      <w:i/>
      <w:iCs/>
      <w:color w:val="0F4761" w:themeColor="accent1" w:themeShade="BF"/>
    </w:rPr>
  </w:style>
  <w:style w:type="character" w:styleId="IntenseReference">
    <w:name w:val="Intense Reference"/>
    <w:basedOn w:val="DefaultParagraphFont"/>
    <w:uiPriority w:val="32"/>
    <w:qFormat/>
    <w:rsid w:val="00FE3845"/>
    <w:rPr>
      <w:b/>
      <w:bCs/>
      <w:smallCaps/>
      <w:color w:val="0F4761" w:themeColor="accent1" w:themeShade="BF"/>
      <w:spacing w:val="5"/>
    </w:rPr>
  </w:style>
  <w:style w:type="paragraph" w:styleId="BodyText">
    <w:name w:val="Body Text"/>
    <w:basedOn w:val="Normal"/>
    <w:link w:val="BodyTextChar"/>
    <w:uiPriority w:val="99"/>
    <w:unhideWhenUsed/>
    <w:rsid w:val="00FE3845"/>
    <w:rPr>
      <w:color w:val="FF0000"/>
      <w:sz w:val="26"/>
      <w:lang w:val="en-US"/>
    </w:rPr>
  </w:style>
  <w:style w:type="character" w:customStyle="1" w:styleId="BodyTextChar">
    <w:name w:val="Body Text Char"/>
    <w:basedOn w:val="DefaultParagraphFont"/>
    <w:link w:val="BodyText"/>
    <w:uiPriority w:val="99"/>
    <w:rsid w:val="00FE3845"/>
    <w:rPr>
      <w:color w:val="FF0000"/>
      <w:kern w:val="0"/>
      <w:sz w:val="26"/>
      <w:szCs w:val="22"/>
      <w:lang w:val="en-US"/>
      <w14:ligatures w14:val="none"/>
    </w:rPr>
  </w:style>
  <w:style w:type="paragraph" w:styleId="Header">
    <w:name w:val="header"/>
    <w:basedOn w:val="Normal"/>
    <w:link w:val="HeaderChar"/>
    <w:uiPriority w:val="99"/>
    <w:unhideWhenUsed/>
    <w:rsid w:val="00FE3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845"/>
    <w:rPr>
      <w:kern w:val="0"/>
      <w:sz w:val="22"/>
      <w:szCs w:val="22"/>
      <w14:ligatures w14:val="none"/>
    </w:rPr>
  </w:style>
  <w:style w:type="paragraph" w:styleId="NormalWeb">
    <w:name w:val="Normal (Web)"/>
    <w:basedOn w:val="Normal"/>
    <w:uiPriority w:val="99"/>
    <w:unhideWhenUsed/>
    <w:rsid w:val="00FE38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2026-01-09T09:53:00Z</dcterms:created>
  <dcterms:modified xsi:type="dcterms:W3CDTF">2026-01-09T10:09:00Z</dcterms:modified>
</cp:coreProperties>
</file>