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5569" w14:textId="77777777" w:rsidR="00B54E65" w:rsidRDefault="00B54E65" w:rsidP="00B54E65">
      <w:pPr>
        <w:pStyle w:val="Heading1"/>
      </w:pPr>
      <w:bookmarkStart w:id="0" w:name="_Toc392744134"/>
      <w:bookmarkStart w:id="1" w:name="_Toc469169045"/>
      <w:bookmarkStart w:id="2" w:name="_Toc218437397"/>
      <w:r>
        <w:t>Cleavage</w:t>
      </w:r>
      <w:bookmarkEnd w:id="0"/>
      <w:bookmarkEnd w:id="1"/>
      <w:bookmarkEnd w:id="2"/>
    </w:p>
    <w:p w14:paraId="6D52F984" w14:textId="77777777" w:rsidR="00B54E65" w:rsidRDefault="00B54E65" w:rsidP="00B54E65">
      <w:pPr>
        <w:pStyle w:val="Heading2"/>
      </w:pPr>
      <w:r>
        <w:t>Definition</w:t>
      </w:r>
    </w:p>
    <w:p w14:paraId="4ABFD605" w14:textId="5D79723E" w:rsidR="00925DB8" w:rsidRPr="00925DB8" w:rsidRDefault="00B54E65" w:rsidP="00925DB8">
      <w:pPr>
        <w:spacing w:after="0"/>
      </w:pPr>
      <w:r>
        <w:t xml:space="preserve">Cleavage is a series of </w:t>
      </w:r>
      <w:r w:rsidR="00925DB8">
        <w:t xml:space="preserve">rapid, successive mitoses of zygote producing smaller blastomeres </w:t>
      </w:r>
    </w:p>
    <w:p w14:paraId="7CE6C03D" w14:textId="00D8893E" w:rsidR="00925DB8" w:rsidRDefault="00925DB8" w:rsidP="00925DB8">
      <w:pPr>
        <w:spacing w:after="0"/>
      </w:pPr>
      <w:r w:rsidRPr="00925DB8">
        <w:t>(e.g., 2-cell day 1, 4-cell day 1.5, 8-cell day 2)</w:t>
      </w:r>
      <w:r>
        <w:t>.</w:t>
      </w:r>
    </w:p>
    <w:p w14:paraId="1C9FE54E" w14:textId="66A9655F" w:rsidR="00925DB8" w:rsidRDefault="00925DB8" w:rsidP="00925DB8">
      <w:pPr>
        <w:spacing w:after="0"/>
      </w:pPr>
      <w:r>
        <w:t>D</w:t>
      </w:r>
      <w:r w:rsidRPr="00925DB8">
        <w:t>ivisions asynchronous initially, without cell growth</w:t>
      </w:r>
      <w:r>
        <w:t xml:space="preserve">. </w:t>
      </w:r>
    </w:p>
    <w:p w14:paraId="41927B92" w14:textId="77107955" w:rsidR="00925DB8" w:rsidRDefault="00925DB8" w:rsidP="00925DB8">
      <w:pPr>
        <w:spacing w:after="0"/>
      </w:pPr>
      <w:r>
        <w:t>Later the process becomes</w:t>
      </w:r>
      <w:r w:rsidRPr="00925DB8">
        <w:t xml:space="preserve"> more synchronous by</w:t>
      </w:r>
      <w:r>
        <w:t xml:space="preserve"> reaching morula stage. </w:t>
      </w:r>
    </w:p>
    <w:p w14:paraId="3A9DD095" w14:textId="77777777" w:rsidR="008E7DE0" w:rsidRDefault="008E7DE0" w:rsidP="00925DB8">
      <w:pPr>
        <w:spacing w:after="0"/>
      </w:pPr>
    </w:p>
    <w:p w14:paraId="490AAC91" w14:textId="5E7B489E" w:rsidR="00925DB8" w:rsidRPr="00925DB8" w:rsidRDefault="00925DB8" w:rsidP="00925DB8">
      <w:pPr>
        <w:spacing w:after="0"/>
      </w:pPr>
      <w:r w:rsidRPr="00925DB8">
        <w:t>After 8-cell stage (third division), compaction via E-cadherin junctions forms polarized cells: Inner (future ICM) vs. outer (future trophectoderm)</w:t>
      </w:r>
      <w:r>
        <w:t>.</w:t>
      </w:r>
    </w:p>
    <w:p w14:paraId="5B57E589" w14:textId="77777777" w:rsidR="00925DB8" w:rsidRPr="00925DB8" w:rsidRDefault="00925DB8" w:rsidP="00925DB8">
      <w:pPr>
        <w:spacing w:after="0"/>
      </w:pPr>
    </w:p>
    <w:p w14:paraId="20A55EB5" w14:textId="0F4044AE" w:rsidR="008E7DE0" w:rsidRPr="008E7DE0" w:rsidRDefault="008E7DE0" w:rsidP="008E7DE0">
      <w:pPr>
        <w:spacing w:after="0"/>
      </w:pPr>
      <w:r>
        <w:t>[TIP]</w:t>
      </w:r>
      <w:r w:rsidRPr="008E7DE0">
        <w:t>Cleavage divisions lack G1, S, and G2 phases</w:t>
      </w:r>
    </w:p>
    <w:p w14:paraId="000B6AC2" w14:textId="032EFEDA" w:rsidR="00925DB8" w:rsidRDefault="00925DB8" w:rsidP="00925DB8">
      <w:pPr>
        <w:spacing w:after="0"/>
      </w:pPr>
    </w:p>
    <w:p w14:paraId="754DF281" w14:textId="6CC94B08" w:rsidR="008E7DE0" w:rsidRDefault="008E7DE0" w:rsidP="008E7DE0">
      <w:pPr>
        <w:spacing w:after="0"/>
      </w:pPr>
      <w:r>
        <w:t>[WARNING]</w:t>
      </w:r>
      <w:r w:rsidRPr="008E7DE0">
        <w:t>In</w:t>
      </w:r>
      <w:r>
        <w:t xml:space="preserve"> humans</w:t>
      </w:r>
      <w:r w:rsidRPr="008E7DE0">
        <w:t xml:space="preserve"> </w:t>
      </w:r>
      <w:r>
        <w:t>c</w:t>
      </w:r>
      <w:r w:rsidRPr="008E7DE0">
        <w:t>leavage is holoblastic</w:t>
      </w:r>
      <w:r>
        <w:t xml:space="preserve"> (i</w:t>
      </w:r>
      <w:r w:rsidRPr="008E7DE0">
        <w:t>nvolv</w:t>
      </w:r>
      <w:r>
        <w:t>es</w:t>
      </w:r>
      <w:r w:rsidRPr="008E7DE0">
        <w:t xml:space="preserve"> complete division of the entire zygote</w:t>
      </w:r>
      <w:r>
        <w:t>)</w:t>
      </w:r>
    </w:p>
    <w:p w14:paraId="049E4049" w14:textId="77777777" w:rsidR="008E7DE0" w:rsidRDefault="008E7DE0" w:rsidP="008E7DE0">
      <w:pPr>
        <w:spacing w:after="0"/>
      </w:pPr>
    </w:p>
    <w:p w14:paraId="2CEB4EBE" w14:textId="58FC349D" w:rsidR="008E7DE0" w:rsidRDefault="008E7DE0" w:rsidP="008E7DE0">
      <w:pPr>
        <w:spacing w:after="0"/>
      </w:pPr>
      <w:r>
        <w:t>[NOTE]</w:t>
      </w:r>
      <w:r w:rsidRPr="008E7DE0">
        <w:t>Stages: Zygote → 2-4-8 cells (cleavage) → compaction (8-cell) → morula (16-cell) → blastocyst (day 5)</w:t>
      </w:r>
    </w:p>
    <w:p w14:paraId="2D0E0E71" w14:textId="77777777" w:rsidR="008E7DE0" w:rsidRDefault="008E7DE0" w:rsidP="008E7DE0">
      <w:pPr>
        <w:spacing w:after="0"/>
      </w:pPr>
    </w:p>
    <w:p w14:paraId="0EF671B5" w14:textId="6BB56F48" w:rsidR="008E7DE0" w:rsidRDefault="008E7DE0" w:rsidP="008E7DE0">
      <w:pPr>
        <w:pStyle w:val="Heading2"/>
      </w:pPr>
      <w:r>
        <w:t xml:space="preserve">Differentiation </w:t>
      </w:r>
    </w:p>
    <w:p w14:paraId="5F55A204" w14:textId="58E604DD" w:rsidR="008E7DE0" w:rsidRDefault="008E7DE0" w:rsidP="008E7DE0">
      <w:pPr>
        <w:pStyle w:val="ListParagraph"/>
        <w:numPr>
          <w:ilvl w:val="0"/>
          <w:numId w:val="2"/>
        </w:numPr>
      </w:pPr>
      <w:r>
        <w:t xml:space="preserve">Inner cell mass </w:t>
      </w:r>
    </w:p>
    <w:p w14:paraId="456D60DB" w14:textId="77777777" w:rsidR="008E7DE0" w:rsidRDefault="008E7DE0" w:rsidP="008E7DE0">
      <w:pPr>
        <w:pStyle w:val="ListParagraph"/>
        <w:numPr>
          <w:ilvl w:val="1"/>
          <w:numId w:val="2"/>
        </w:numPr>
      </w:pPr>
      <w:r w:rsidRPr="008E7DE0">
        <w:t>E-cadherin-mediated adhesions polarize blastomeres, positioning inner cells (with apical-basal asymmetry) to form the inner cell mass (ICM)</w:t>
      </w:r>
      <w:r>
        <w:t xml:space="preserve">. </w:t>
      </w:r>
    </w:p>
    <w:p w14:paraId="4234A956" w14:textId="1AA39F64" w:rsidR="008E7DE0" w:rsidRDefault="008E7DE0" w:rsidP="008E7DE0">
      <w:pPr>
        <w:pStyle w:val="ListParagraph"/>
        <w:numPr>
          <w:ilvl w:val="1"/>
          <w:numId w:val="2"/>
        </w:numPr>
      </w:pPr>
      <w:r>
        <w:t>ICM</w:t>
      </w:r>
      <w:r w:rsidRPr="008E7DE0">
        <w:t xml:space="preserve"> gives rise to the embryo proper and some extraembryonic tissues.</w:t>
      </w:r>
    </w:p>
    <w:p w14:paraId="5A2631A0" w14:textId="07E5340A" w:rsidR="009C41E4" w:rsidRDefault="009C41E4" w:rsidP="008E7DE0">
      <w:pPr>
        <w:pStyle w:val="ListParagraph"/>
        <w:numPr>
          <w:ilvl w:val="1"/>
          <w:numId w:val="2"/>
        </w:numPr>
      </w:pPr>
      <w:r>
        <w:t>I</w:t>
      </w:r>
      <w:r w:rsidRPr="009C41E4">
        <w:t>nner cells have active Hippo (YAP cytoplasmic → ICM fate)</w:t>
      </w:r>
    </w:p>
    <w:p w14:paraId="6B914636" w14:textId="5E7BE581" w:rsidR="008E7DE0" w:rsidRDefault="008E7DE0" w:rsidP="008E7DE0">
      <w:pPr>
        <w:pStyle w:val="ListParagraph"/>
        <w:numPr>
          <w:ilvl w:val="0"/>
          <w:numId w:val="2"/>
        </w:numPr>
      </w:pPr>
      <w:r>
        <w:t xml:space="preserve">Trophectoderm </w:t>
      </w:r>
    </w:p>
    <w:p w14:paraId="6B33F64B" w14:textId="437C9800" w:rsidR="008E7DE0" w:rsidRDefault="008E7DE0" w:rsidP="008E7DE0">
      <w:pPr>
        <w:pStyle w:val="ListParagraph"/>
        <w:numPr>
          <w:ilvl w:val="1"/>
          <w:numId w:val="2"/>
        </w:numPr>
      </w:pPr>
      <w:r w:rsidRPr="008E7DE0">
        <w:t>In contrast, outer cells adopt a free surface, excluding Hippo pathway effectors like YAP from the nucleus, directing them toward trophectoderm fate for placental development</w:t>
      </w:r>
    </w:p>
    <w:p w14:paraId="5B671D69" w14:textId="248EEB6E" w:rsidR="008E7DE0" w:rsidRDefault="009C41E4" w:rsidP="009C41E4">
      <w:pPr>
        <w:pStyle w:val="ListParagraph"/>
        <w:numPr>
          <w:ilvl w:val="1"/>
          <w:numId w:val="2"/>
        </w:numPr>
      </w:pPr>
      <w:r>
        <w:t>O</w:t>
      </w:r>
      <w:r w:rsidRPr="009C41E4">
        <w:t>uter cells have inactive Hippo (YAP nuclear → trophectoderm fate)</w:t>
      </w:r>
    </w:p>
    <w:p w14:paraId="394B2425" w14:textId="2F267FD5" w:rsidR="008E7DE0" w:rsidRDefault="008E7DE0" w:rsidP="008E7DE0">
      <w:pPr>
        <w:pStyle w:val="Heading2"/>
      </w:pPr>
      <w:r>
        <w:t xml:space="preserve">Blastocyst </w:t>
      </w:r>
    </w:p>
    <w:p w14:paraId="3B330C85" w14:textId="77777777" w:rsidR="008E7DE0" w:rsidRDefault="008E7DE0" w:rsidP="008E7DE0">
      <w:pPr>
        <w:pStyle w:val="ListParagraph"/>
        <w:numPr>
          <w:ilvl w:val="0"/>
          <w:numId w:val="3"/>
        </w:numPr>
        <w:spacing w:after="0"/>
      </w:pPr>
      <w:r w:rsidRPr="008E7DE0">
        <w:t>Fluid accumulation between trophectoderm cells creates the blastocoel</w:t>
      </w:r>
    </w:p>
    <w:p w14:paraId="0AAB2592" w14:textId="77777777" w:rsidR="008E7DE0" w:rsidRDefault="008E7DE0" w:rsidP="008E7DE0">
      <w:pPr>
        <w:pStyle w:val="ListParagraph"/>
        <w:numPr>
          <w:ilvl w:val="0"/>
          <w:numId w:val="3"/>
        </w:numPr>
        <w:spacing w:after="0"/>
      </w:pPr>
      <w:r>
        <w:t>Blastocoel=</w:t>
      </w:r>
      <w:r w:rsidRPr="008E7DE0">
        <w:t xml:space="preserve"> a fluid-filled cavity that defines the blastocyst stage by day 4-5 post-fertilization. </w:t>
      </w:r>
    </w:p>
    <w:p w14:paraId="505D0BFB" w14:textId="3F333F99" w:rsidR="008E7DE0" w:rsidRDefault="008E7DE0" w:rsidP="008E7DE0">
      <w:pPr>
        <w:pStyle w:val="ListParagraph"/>
        <w:numPr>
          <w:ilvl w:val="0"/>
          <w:numId w:val="3"/>
        </w:numPr>
        <w:spacing w:after="0"/>
      </w:pPr>
      <w:r w:rsidRPr="008E7DE0">
        <w:t>"</w:t>
      </w:r>
      <w:r w:rsidR="009C41E4">
        <w:t>B</w:t>
      </w:r>
      <w:r w:rsidRPr="008E7DE0">
        <w:t xml:space="preserve">lastocyst" </w:t>
      </w:r>
      <w:r w:rsidR="009C41E4">
        <w:t xml:space="preserve">= </w:t>
      </w:r>
      <w:r w:rsidRPr="008E7DE0">
        <w:t>trophectoderm + ICM + blastocoel</w:t>
      </w:r>
    </w:p>
    <w:p w14:paraId="5598587A" w14:textId="77777777" w:rsidR="009C41E4" w:rsidRDefault="009C41E4" w:rsidP="008E7DE0">
      <w:pPr>
        <w:pStyle w:val="ListParagraph"/>
        <w:numPr>
          <w:ilvl w:val="0"/>
          <w:numId w:val="3"/>
        </w:numPr>
        <w:spacing w:after="0"/>
      </w:pPr>
      <w:r w:rsidRPr="009C41E4">
        <w:t xml:space="preserve">The fluid </w:t>
      </w:r>
      <w:r>
        <w:t xml:space="preserve">of </w:t>
      </w:r>
      <w:r w:rsidRPr="009C41E4">
        <w:t>blastocoel originates from maternal sources in the uterine cavity, diffusing through tight junctions in the trophectoderm, and is actively pumped into the intercellular space by Na</w:t>
      </w:r>
      <w:r w:rsidRPr="009C41E4">
        <w:rPr>
          <w:vertAlign w:val="superscript"/>
        </w:rPr>
        <w:t>+</w:t>
      </w:r>
      <w:r w:rsidRPr="009C41E4">
        <w:t>/K</w:t>
      </w:r>
      <w:r w:rsidRPr="009C41E4">
        <w:rPr>
          <w:vertAlign w:val="superscript"/>
        </w:rPr>
        <w:t>+</w:t>
      </w:r>
      <w:r w:rsidRPr="009C41E4">
        <w:t xml:space="preserve">-ATPase pumps on the apical surfaces of trophectoderm cells. </w:t>
      </w:r>
    </w:p>
    <w:p w14:paraId="3CA7DFEF" w14:textId="50871297" w:rsidR="009C41E4" w:rsidRDefault="009C41E4" w:rsidP="008E7DE0">
      <w:pPr>
        <w:pStyle w:val="ListParagraph"/>
        <w:numPr>
          <w:ilvl w:val="0"/>
          <w:numId w:val="3"/>
        </w:numPr>
        <w:spacing w:after="0"/>
      </w:pPr>
      <w:r w:rsidRPr="009C41E4">
        <w:t>Aquaporin-8 channels facilitate water influx following this osmotic gradient.</w:t>
      </w:r>
    </w:p>
    <w:p w14:paraId="3F6917A8" w14:textId="77777777" w:rsidR="008E7DE0" w:rsidRDefault="008E7DE0" w:rsidP="008E7DE0">
      <w:pPr>
        <w:spacing w:after="0"/>
      </w:pPr>
    </w:p>
    <w:p w14:paraId="37CF23DF" w14:textId="77777777" w:rsidR="00D674B7" w:rsidRDefault="00D674B7" w:rsidP="008E7DE0">
      <w:pPr>
        <w:spacing w:after="0"/>
      </w:pPr>
    </w:p>
    <w:p w14:paraId="4318049A" w14:textId="5E2E14EC" w:rsidR="008E7DE0" w:rsidRPr="008E7DE0" w:rsidRDefault="008E7DE0" w:rsidP="008E7DE0">
      <w:pPr>
        <w:spacing w:after="0"/>
      </w:pPr>
      <w:r>
        <w:t>[TIP]</w:t>
      </w:r>
      <w:r w:rsidRPr="008E7DE0">
        <w:t>Asynchronous divisions allow variable cell fates, enhancing totipotency</w:t>
      </w:r>
    </w:p>
    <w:p w14:paraId="27A51F90" w14:textId="0B755640" w:rsidR="008E7DE0" w:rsidRDefault="008E7DE0" w:rsidP="008E7DE0">
      <w:pPr>
        <w:spacing w:after="0"/>
      </w:pPr>
    </w:p>
    <w:p w14:paraId="7C97C0AD" w14:textId="4ABB778C" w:rsidR="008E7DE0" w:rsidRDefault="008E7DE0" w:rsidP="008E7DE0">
      <w:pPr>
        <w:pStyle w:val="Heading2"/>
      </w:pPr>
      <w:r w:rsidRPr="008E7DE0">
        <w:lastRenderedPageBreak/>
        <w:t>Regulation</w:t>
      </w:r>
      <w:r>
        <w:t xml:space="preserve"> </w:t>
      </w:r>
    </w:p>
    <w:p w14:paraId="7885ED9B" w14:textId="77777777" w:rsidR="008E7DE0" w:rsidRDefault="008E7DE0" w:rsidP="008E7DE0">
      <w:pPr>
        <w:spacing w:after="0"/>
      </w:pPr>
      <w:r w:rsidRPr="008E7DE0">
        <w:t>Oct4/Nanog maintain totipotency</w:t>
      </w:r>
    </w:p>
    <w:p w14:paraId="7C993194" w14:textId="5604282B" w:rsidR="008E7DE0" w:rsidRPr="008E7DE0" w:rsidRDefault="008E7DE0" w:rsidP="008E7DE0">
      <w:pPr>
        <w:spacing w:after="0"/>
      </w:pPr>
      <w:r w:rsidRPr="008E7DE0">
        <w:t>Hippo pathway polarizes outer cells (YAP/TAZ nuclear exclusion)</w:t>
      </w:r>
    </w:p>
    <w:p w14:paraId="57B7813A" w14:textId="77777777" w:rsidR="009C41E4" w:rsidRDefault="009C41E4" w:rsidP="008E7DE0">
      <w:pPr>
        <w:spacing w:after="0"/>
      </w:pPr>
    </w:p>
    <w:p w14:paraId="7124118F" w14:textId="1AF3D970" w:rsidR="009C41E4" w:rsidRPr="009C41E4" w:rsidRDefault="009C41E4" w:rsidP="009C41E4">
      <w:pPr>
        <w:pStyle w:val="Heading2"/>
      </w:pPr>
      <w:r>
        <w:t>Clinical relevance</w:t>
      </w:r>
    </w:p>
    <w:p w14:paraId="0FC296BC" w14:textId="77777777" w:rsidR="009C41E4" w:rsidRPr="009C41E4" w:rsidRDefault="009C41E4" w:rsidP="009C41E4">
      <w:pPr>
        <w:numPr>
          <w:ilvl w:val="0"/>
          <w:numId w:val="4"/>
        </w:numPr>
        <w:spacing w:after="0"/>
      </w:pPr>
      <w:r w:rsidRPr="009C41E4">
        <w:rPr>
          <w:b/>
          <w:bCs/>
        </w:rPr>
        <w:t>IVF Embryo Grading</w:t>
      </w:r>
      <w:r w:rsidRPr="009C41E4">
        <w:t>: Day 3 cleavage stage (6-8 symmetric cells) predicts blastocyst potential; poor compaction/asynchrony flags aneuploidy, guiding PGT-A biopsy.</w:t>
      </w:r>
    </w:p>
    <w:p w14:paraId="371D6079" w14:textId="5C792EE6" w:rsidR="009C41E4" w:rsidRPr="009C41E4" w:rsidRDefault="009C41E4" w:rsidP="009C41E4">
      <w:pPr>
        <w:numPr>
          <w:ilvl w:val="0"/>
          <w:numId w:val="4"/>
        </w:numPr>
        <w:spacing w:after="0"/>
      </w:pPr>
      <w:r w:rsidRPr="009C41E4">
        <w:rPr>
          <w:b/>
          <w:bCs/>
        </w:rPr>
        <w:t>Recurrent Implantation Failure</w:t>
      </w:r>
      <w:r w:rsidRPr="009C41E4">
        <w:t>: Trophectoderm defects (e.g., Hippo pathway mutations) prevent attachment</w:t>
      </w:r>
    </w:p>
    <w:p w14:paraId="20BF3F67" w14:textId="300915C8" w:rsidR="009C41E4" w:rsidRPr="009C41E4" w:rsidRDefault="009C41E4" w:rsidP="009C41E4">
      <w:pPr>
        <w:numPr>
          <w:ilvl w:val="0"/>
          <w:numId w:val="4"/>
        </w:numPr>
        <w:spacing w:after="0"/>
      </w:pPr>
      <w:r w:rsidRPr="009C41E4">
        <w:rPr>
          <w:b/>
          <w:bCs/>
        </w:rPr>
        <w:t>Assisted Hatching</w:t>
      </w:r>
      <w:r w:rsidRPr="009C41E4">
        <w:t>: Laser thinning of zona pellucida aids day 5 hatching in older patients, boosting implantation.</w:t>
      </w:r>
    </w:p>
    <w:p w14:paraId="0A69B081" w14:textId="219C6F82" w:rsidR="009C41E4" w:rsidRPr="009C41E4" w:rsidRDefault="009C41E4" w:rsidP="009C41E4">
      <w:pPr>
        <w:numPr>
          <w:ilvl w:val="0"/>
          <w:numId w:val="4"/>
        </w:numPr>
        <w:spacing w:after="0"/>
      </w:pPr>
      <w:r w:rsidRPr="009C41E4">
        <w:rPr>
          <w:b/>
          <w:bCs/>
        </w:rPr>
        <w:t>Early Miscarriage Risk</w:t>
      </w:r>
      <w:r w:rsidRPr="009C41E4">
        <w:t>: Blastomere fragmentation (&gt;20%) from oxidative stress → biochemical pregnancy</w:t>
      </w:r>
    </w:p>
    <w:p w14:paraId="13A4FFD6" w14:textId="55BFEEC3" w:rsidR="009C41E4" w:rsidRDefault="009C41E4" w:rsidP="009C41E4">
      <w:pPr>
        <w:numPr>
          <w:ilvl w:val="0"/>
          <w:numId w:val="4"/>
        </w:numPr>
        <w:spacing w:after="0"/>
      </w:pPr>
      <w:r w:rsidRPr="009C41E4">
        <w:rPr>
          <w:b/>
          <w:bCs/>
        </w:rPr>
        <w:t>Time-Lapse Monitoring</w:t>
      </w:r>
      <w:r w:rsidRPr="009C41E4">
        <w:t>: AI algorithms track cleavage kinetics; predicts euploidy, cutting multiple births in single-embryo transfer.</w:t>
      </w:r>
    </w:p>
    <w:p w14:paraId="5C35B769" w14:textId="77777777" w:rsidR="00C42341" w:rsidRDefault="00C42341" w:rsidP="00C42341">
      <w:pPr>
        <w:spacing w:after="0"/>
      </w:pPr>
    </w:p>
    <w:p w14:paraId="4AF759D6" w14:textId="022A2369" w:rsidR="00C42341" w:rsidRPr="009C41E4" w:rsidRDefault="00C42341" w:rsidP="00C42341">
      <w:pPr>
        <w:spacing w:after="0"/>
      </w:pPr>
      <w:r>
        <w:t>[</w:t>
      </w:r>
      <w:r w:rsidR="00C20759">
        <w:t>YOUTUBE</w:t>
      </w:r>
      <w:r>
        <w:t>]</w:t>
      </w:r>
      <w:r w:rsidRPr="00C42341">
        <w:t>https://youtu.be/Zjr3KUqaCaY</w:t>
      </w:r>
    </w:p>
    <w:p w14:paraId="3F3A2B83" w14:textId="77777777" w:rsidR="009C41E4" w:rsidRDefault="009C41E4" w:rsidP="008E7DE0">
      <w:pPr>
        <w:spacing w:after="0"/>
      </w:pPr>
    </w:p>
    <w:p w14:paraId="007603A8" w14:textId="18CA8C23" w:rsidR="00815B9C" w:rsidRDefault="00815B9C" w:rsidP="00815B9C">
      <w:pPr>
        <w:spacing w:after="0"/>
      </w:pPr>
      <w:r>
        <w:t>[TIP]</w:t>
      </w:r>
      <w:r w:rsidRPr="00815B9C">
        <w:t>Garbha Upanishad's "budbuda" poetically describes a bubble-like, foamy multicellular mass in early embryogenesis (days 2-7), metaphorically akin to the morula stage's rapid divisions, highlighting ancient Vedic insights into growth without modern cellular precision</w:t>
      </w:r>
    </w:p>
    <w:p w14:paraId="100E3249" w14:textId="77777777" w:rsidR="00815B9C" w:rsidRDefault="00815B9C" w:rsidP="00815B9C">
      <w:pPr>
        <w:spacing w:after="0"/>
      </w:pPr>
    </w:p>
    <w:p w14:paraId="59387F3D" w14:textId="3C54E87A" w:rsidR="00815B9C" w:rsidRDefault="00815B9C" w:rsidP="00815B9C">
      <w:pPr>
        <w:pStyle w:val="Heading3"/>
      </w:pPr>
      <w:r>
        <w:t xml:space="preserve">Garbha Upanishad – relevant sloka </w:t>
      </w:r>
    </w:p>
    <w:p w14:paraId="643BE2ED" w14:textId="77777777" w:rsidR="00815B9C" w:rsidRDefault="00815B9C" w:rsidP="00815B9C">
      <w:pPr>
        <w:spacing w:after="0"/>
        <w:rPr>
          <w:b/>
          <w:bCs/>
        </w:rPr>
      </w:pPr>
    </w:p>
    <w:p w14:paraId="18E581E5" w14:textId="3E7D33E0" w:rsidR="00815B9C" w:rsidRDefault="00815B9C" w:rsidP="00815B9C">
      <w:pPr>
        <w:spacing w:after="0"/>
      </w:pPr>
      <w:r w:rsidRPr="00815B9C">
        <w:rPr>
          <w:b/>
          <w:bCs/>
        </w:rPr>
        <w:t>Sanskrit (Devanagari):</w:t>
      </w:r>
      <w:r w:rsidRPr="00815B9C">
        <w:t xml:space="preserve"> </w:t>
      </w:r>
    </w:p>
    <w:p w14:paraId="19015E4E" w14:textId="2F98EDBF" w:rsidR="00815B9C" w:rsidRPr="00815B9C" w:rsidRDefault="00815B9C" w:rsidP="00815B9C">
      <w:pPr>
        <w:spacing w:after="0"/>
      </w:pPr>
      <w:r w:rsidRPr="00815B9C">
        <w:rPr>
          <w:rFonts w:ascii="Mangal" w:hAnsi="Mangal" w:cs="Mangal" w:hint="cs"/>
          <w:cs/>
          <w:lang w:bidi="hi-IN"/>
        </w:rPr>
        <w:t>ऋतुकाले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संयोजनादेकरात्रं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कललं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भवति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सप्तरात्रं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बुद्बुदं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भवति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अर्धमान्तरेण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पेशी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भवति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मासान्तरेण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कठिनं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भवति</w:t>
      </w:r>
      <w:r w:rsidRPr="00815B9C">
        <w:rPr>
          <w:cs/>
          <w:lang w:bidi="hi-IN"/>
        </w:rPr>
        <w:t xml:space="preserve"> </w:t>
      </w:r>
      <w:r w:rsidRPr="00815B9C">
        <w:rPr>
          <w:rFonts w:ascii="Tunga" w:hAnsi="Tunga" w:cs="Tunga" w:hint="cs"/>
          <w:cs/>
          <w:lang w:bidi="hi-IN"/>
        </w:rPr>
        <w:t>।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द्विमासेन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शिरः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सम्पद्यते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त्रिमासेन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पादौ</w:t>
      </w:r>
      <w:r w:rsidRPr="00815B9C">
        <w:rPr>
          <w:cs/>
          <w:lang w:bidi="hi-IN"/>
        </w:rPr>
        <w:t xml:space="preserve"> </w:t>
      </w:r>
      <w:r w:rsidRPr="00815B9C">
        <w:rPr>
          <w:rFonts w:ascii="Mangal" w:hAnsi="Mangal" w:cs="Mangal" w:hint="cs"/>
          <w:cs/>
          <w:lang w:bidi="hi-IN"/>
        </w:rPr>
        <w:t>भवतः</w:t>
      </w:r>
      <w:r w:rsidRPr="00815B9C">
        <w:rPr>
          <w:cs/>
          <w:lang w:bidi="hi-IN"/>
        </w:rPr>
        <w:t xml:space="preserve"> </w:t>
      </w:r>
      <w:r w:rsidRPr="00815B9C">
        <w:rPr>
          <w:rFonts w:ascii="Tunga" w:hAnsi="Tunga" w:cs="Tunga" w:hint="cs"/>
          <w:cs/>
          <w:lang w:bidi="hi-IN"/>
        </w:rPr>
        <w:t>।</w:t>
      </w:r>
    </w:p>
    <w:p w14:paraId="224960EF" w14:textId="77777777" w:rsidR="00815B9C" w:rsidRDefault="00815B9C" w:rsidP="00815B9C">
      <w:pPr>
        <w:spacing w:after="0"/>
        <w:rPr>
          <w:b/>
          <w:bCs/>
        </w:rPr>
      </w:pPr>
    </w:p>
    <w:p w14:paraId="32590240" w14:textId="33000194" w:rsidR="00815B9C" w:rsidRDefault="00815B9C" w:rsidP="00815B9C">
      <w:pPr>
        <w:spacing w:after="0"/>
      </w:pPr>
      <w:r w:rsidRPr="00815B9C">
        <w:rPr>
          <w:b/>
          <w:bCs/>
        </w:rPr>
        <w:t>Transliteration:</w:t>
      </w:r>
      <w:r w:rsidRPr="00815B9C">
        <w:t xml:space="preserve"> </w:t>
      </w:r>
    </w:p>
    <w:p w14:paraId="648BA409" w14:textId="37B4E8F0" w:rsidR="00815B9C" w:rsidRPr="00815B9C" w:rsidRDefault="00815B9C" w:rsidP="00815B9C">
      <w:pPr>
        <w:spacing w:after="0"/>
      </w:pPr>
      <w:r w:rsidRPr="00815B9C">
        <w:rPr>
          <w:rFonts w:ascii="Calibri" w:hAnsi="Calibri" w:cs="Calibri"/>
        </w:rPr>
        <w:t>ṛ</w:t>
      </w:r>
      <w:r w:rsidRPr="00815B9C">
        <w:t>tukāle sa</w:t>
      </w:r>
      <w:r w:rsidRPr="00815B9C">
        <w:rPr>
          <w:rFonts w:ascii="Calibri" w:hAnsi="Calibri" w:cs="Calibri"/>
        </w:rPr>
        <w:t>ṃ</w:t>
      </w:r>
      <w:r w:rsidRPr="00815B9C">
        <w:t>yoganādekarātra</w:t>
      </w:r>
      <w:r w:rsidRPr="00815B9C">
        <w:rPr>
          <w:rFonts w:ascii="Calibri" w:hAnsi="Calibri" w:cs="Calibri"/>
        </w:rPr>
        <w:t>ṃ</w:t>
      </w:r>
      <w:r w:rsidRPr="00815B9C">
        <w:t xml:space="preserve"> kalala</w:t>
      </w:r>
      <w:r w:rsidRPr="00815B9C">
        <w:rPr>
          <w:rFonts w:ascii="Calibri" w:hAnsi="Calibri" w:cs="Calibri"/>
        </w:rPr>
        <w:t>ṃ</w:t>
      </w:r>
      <w:r w:rsidRPr="00815B9C">
        <w:t xml:space="preserve"> bhavati saptarātra</w:t>
      </w:r>
      <w:r w:rsidRPr="00815B9C">
        <w:rPr>
          <w:rFonts w:ascii="Calibri" w:hAnsi="Calibri" w:cs="Calibri"/>
        </w:rPr>
        <w:t>ṃ</w:t>
      </w:r>
      <w:r w:rsidRPr="00815B9C">
        <w:t xml:space="preserve"> budbuda</w:t>
      </w:r>
      <w:r w:rsidRPr="00815B9C">
        <w:rPr>
          <w:rFonts w:ascii="Calibri" w:hAnsi="Calibri" w:cs="Calibri"/>
        </w:rPr>
        <w:t>ṃ</w:t>
      </w:r>
      <w:r w:rsidRPr="00815B9C">
        <w:t xml:space="preserve"> bhavati ardhamāsāntare</w:t>
      </w:r>
      <w:r w:rsidRPr="00815B9C">
        <w:rPr>
          <w:rFonts w:ascii="Calibri" w:hAnsi="Calibri" w:cs="Calibri"/>
        </w:rPr>
        <w:t>ṇ</w:t>
      </w:r>
      <w:r w:rsidRPr="00815B9C">
        <w:t>a peśī bhavati māsāntare</w:t>
      </w:r>
      <w:r w:rsidRPr="00815B9C">
        <w:rPr>
          <w:rFonts w:ascii="Calibri" w:hAnsi="Calibri" w:cs="Calibri"/>
        </w:rPr>
        <w:t>ṇ</w:t>
      </w:r>
      <w:r w:rsidRPr="00815B9C">
        <w:t>a ka</w:t>
      </w:r>
      <w:r w:rsidRPr="00815B9C">
        <w:rPr>
          <w:rFonts w:ascii="Calibri" w:hAnsi="Calibri" w:cs="Calibri"/>
        </w:rPr>
        <w:t>ṭ</w:t>
      </w:r>
      <w:r w:rsidRPr="00815B9C">
        <w:t>hina</w:t>
      </w:r>
      <w:r w:rsidRPr="00815B9C">
        <w:rPr>
          <w:rFonts w:ascii="Calibri" w:hAnsi="Calibri" w:cs="Calibri"/>
        </w:rPr>
        <w:t>ṃ</w:t>
      </w:r>
      <w:r w:rsidRPr="00815B9C">
        <w:t xml:space="preserve"> bhavati | dvimāsena śira</w:t>
      </w:r>
      <w:r w:rsidRPr="00815B9C">
        <w:rPr>
          <w:rFonts w:ascii="Calibri" w:hAnsi="Calibri" w:cs="Calibri"/>
        </w:rPr>
        <w:t>ḥ</w:t>
      </w:r>
      <w:r w:rsidRPr="00815B9C">
        <w:t xml:space="preserve"> sampadyate trimāsena pādau bhavata</w:t>
      </w:r>
      <w:r w:rsidRPr="00815B9C">
        <w:rPr>
          <w:rFonts w:ascii="Calibri" w:hAnsi="Calibri" w:cs="Calibri"/>
        </w:rPr>
        <w:t>ḥ</w:t>
      </w:r>
      <w:r w:rsidRPr="00815B9C">
        <w:t xml:space="preserve"> |</w:t>
      </w:r>
    </w:p>
    <w:p w14:paraId="00DE9F9D" w14:textId="77777777" w:rsidR="00815B9C" w:rsidRDefault="00815B9C" w:rsidP="00815B9C">
      <w:pPr>
        <w:spacing w:after="0"/>
        <w:rPr>
          <w:b/>
          <w:bCs/>
        </w:rPr>
      </w:pPr>
    </w:p>
    <w:p w14:paraId="0183CE3E" w14:textId="77777777" w:rsidR="00815B9C" w:rsidRDefault="00815B9C" w:rsidP="00815B9C">
      <w:pPr>
        <w:spacing w:after="0"/>
      </w:pPr>
      <w:r w:rsidRPr="00815B9C">
        <w:rPr>
          <w:b/>
          <w:bCs/>
        </w:rPr>
        <w:t>English Translation:</w:t>
      </w:r>
      <w:r w:rsidRPr="00815B9C">
        <w:t xml:space="preserve"> </w:t>
      </w:r>
    </w:p>
    <w:p w14:paraId="5C20D4F8" w14:textId="689886ED" w:rsidR="00815B9C" w:rsidRPr="00815B9C" w:rsidRDefault="00815B9C" w:rsidP="00815B9C">
      <w:pPr>
        <w:spacing w:after="0"/>
      </w:pPr>
      <w:r w:rsidRPr="00815B9C">
        <w:t>During the fertile season, upon union, after one night it becomes kalala (a semi-fluid mass); after seven nights, it becomes budbuda (a bubble); after a fortnight, a peśī (fleshy lump); after one month, it hardens. In two months, the head forms; in three months, the feet develop.</w:t>
      </w:r>
    </w:p>
    <w:p w14:paraId="378C1928" w14:textId="77777777" w:rsidR="00815B9C" w:rsidRPr="00815B9C" w:rsidRDefault="00815B9C" w:rsidP="00815B9C">
      <w:pPr>
        <w:spacing w:after="0"/>
      </w:pPr>
    </w:p>
    <w:sectPr w:rsidR="00815B9C" w:rsidRPr="00815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02DE8"/>
    <w:multiLevelType w:val="hybridMultilevel"/>
    <w:tmpl w:val="93EA1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F187C"/>
    <w:multiLevelType w:val="multilevel"/>
    <w:tmpl w:val="1E24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86585"/>
    <w:multiLevelType w:val="hybridMultilevel"/>
    <w:tmpl w:val="ECECA8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76DF3"/>
    <w:multiLevelType w:val="hybridMultilevel"/>
    <w:tmpl w:val="D62C0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967928">
    <w:abstractNumId w:val="3"/>
  </w:num>
  <w:num w:numId="2" w16cid:durableId="782844519">
    <w:abstractNumId w:val="2"/>
  </w:num>
  <w:num w:numId="3" w16cid:durableId="693579061">
    <w:abstractNumId w:val="0"/>
  </w:num>
  <w:num w:numId="4" w16cid:durableId="1231696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65"/>
    <w:rsid w:val="00386AD9"/>
    <w:rsid w:val="004C2BF6"/>
    <w:rsid w:val="005E08F3"/>
    <w:rsid w:val="00772CB7"/>
    <w:rsid w:val="007D7D91"/>
    <w:rsid w:val="00815B9C"/>
    <w:rsid w:val="008E7DE0"/>
    <w:rsid w:val="00925DB8"/>
    <w:rsid w:val="009C41E4"/>
    <w:rsid w:val="00A72345"/>
    <w:rsid w:val="00AE1BA5"/>
    <w:rsid w:val="00B15EB3"/>
    <w:rsid w:val="00B54E65"/>
    <w:rsid w:val="00C20759"/>
    <w:rsid w:val="00C42341"/>
    <w:rsid w:val="00CF3BD6"/>
    <w:rsid w:val="00D674B7"/>
    <w:rsid w:val="00DC0396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CFE4"/>
  <w15:chartTrackingRefBased/>
  <w15:docId w15:val="{DBFE238A-58FE-4D50-8C40-D9D2E5EB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6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54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4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E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5D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7</cp:revision>
  <dcterms:created xsi:type="dcterms:W3CDTF">2026-01-11T12:19:00Z</dcterms:created>
  <dcterms:modified xsi:type="dcterms:W3CDTF">2026-01-14T09:56:00Z</dcterms:modified>
</cp:coreProperties>
</file>