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73E2E" w14:textId="77777777" w:rsidR="00F3449B" w:rsidRDefault="00F3449B" w:rsidP="00F3449B">
      <w:pPr>
        <w:pStyle w:val="Heading1"/>
      </w:pPr>
      <w:r>
        <w:t xml:space="preserve">Gastrulation </w:t>
      </w:r>
    </w:p>
    <w:p w14:paraId="39E0DF03" w14:textId="5F1905F2" w:rsidR="00F3449B" w:rsidRPr="00F3449B" w:rsidRDefault="00F3449B" w:rsidP="00F3449B">
      <w:pPr>
        <w:pStyle w:val="Heading2"/>
      </w:pPr>
      <w:r>
        <w:t xml:space="preserve">Definition </w:t>
      </w:r>
    </w:p>
    <w:p w14:paraId="47992109" w14:textId="77777777" w:rsidR="00F3449B" w:rsidRDefault="00F3449B" w:rsidP="00F3449B">
      <w:pPr>
        <w:spacing w:after="200" w:line="276" w:lineRule="auto"/>
        <w:rPr>
          <w:sz w:val="24"/>
        </w:rPr>
      </w:pPr>
      <w:r w:rsidRPr="000E3D21">
        <w:rPr>
          <w:sz w:val="24"/>
        </w:rPr>
        <w:t>Gastrulation is a series of events that result in the formation of the 3 germ layers namely ectoderm, endoderm and mesoderm.</w:t>
      </w:r>
    </w:p>
    <w:p w14:paraId="56CA5B25" w14:textId="77777777" w:rsidR="00F3449B" w:rsidRDefault="00F3449B" w:rsidP="00F3449B">
      <w:pPr>
        <w:pStyle w:val="Heading2"/>
      </w:pPr>
      <w:r>
        <w:t>Mechanism</w:t>
      </w:r>
    </w:p>
    <w:p w14:paraId="58952432" w14:textId="2A995122" w:rsidR="00F3449B" w:rsidRPr="00F3449B" w:rsidRDefault="00F3449B" w:rsidP="00F3449B">
      <w:pPr>
        <w:spacing w:after="200" w:line="276" w:lineRule="auto"/>
        <w:rPr>
          <w:sz w:val="24"/>
        </w:rPr>
      </w:pPr>
      <w:r w:rsidRPr="00F3449B">
        <w:rPr>
          <w:sz w:val="24"/>
        </w:rPr>
        <w:t>Collective movement of cells through the primitive streak and to interior of the embryo to form the three primary germ layers constitutes gastrulation</w:t>
      </w:r>
    </w:p>
    <w:p w14:paraId="6C9A6867" w14:textId="22ABB23C" w:rsidR="00F3449B" w:rsidRDefault="00F3449B" w:rsidP="00F3449B">
      <w:pPr>
        <w:spacing w:after="200" w:line="276" w:lineRule="auto"/>
        <w:rPr>
          <w:b/>
          <w:sz w:val="24"/>
        </w:rPr>
      </w:pPr>
      <w:r>
        <w:rPr>
          <w:bCs/>
          <w:sz w:val="24"/>
        </w:rPr>
        <w:t>[TIP]</w:t>
      </w:r>
      <w:r w:rsidRPr="000E3D21">
        <w:rPr>
          <w:b/>
          <w:sz w:val="24"/>
        </w:rPr>
        <w:t>All the three germ layers are derived from the epiblas</w:t>
      </w:r>
      <w:r>
        <w:rPr>
          <w:b/>
          <w:sz w:val="24"/>
        </w:rPr>
        <w:t>ts</w:t>
      </w:r>
      <w:r w:rsidRPr="000E3D21">
        <w:rPr>
          <w:b/>
          <w:sz w:val="24"/>
        </w:rPr>
        <w:t>.</w:t>
      </w:r>
    </w:p>
    <w:p w14:paraId="2665C795" w14:textId="18BA6F65" w:rsidR="00F3449B" w:rsidRDefault="00F3449B" w:rsidP="00F3449B">
      <w:pPr>
        <w:pStyle w:val="Heading2"/>
      </w:pPr>
      <w:r>
        <w:t xml:space="preserve">Process </w:t>
      </w:r>
    </w:p>
    <w:p w14:paraId="3CD27A83" w14:textId="77777777" w:rsidR="00F3449B" w:rsidRPr="00F3449B" w:rsidRDefault="00F3449B" w:rsidP="00F3449B">
      <w:pPr>
        <w:spacing w:after="200" w:line="276" w:lineRule="auto"/>
        <w:rPr>
          <w:bCs/>
          <w:sz w:val="24"/>
        </w:rPr>
      </w:pPr>
      <w:r w:rsidRPr="00F3449B">
        <w:rPr>
          <w:bCs/>
          <w:sz w:val="24"/>
        </w:rPr>
        <w:t xml:space="preserve">Week 3 (days 15-21): Epiblast-derived </w:t>
      </w:r>
      <w:r w:rsidRPr="00F3449B">
        <w:rPr>
          <w:b/>
          <w:sz w:val="24"/>
        </w:rPr>
        <w:t>ingress</w:t>
      </w:r>
      <w:r w:rsidRPr="00F3449B">
        <w:rPr>
          <w:bCs/>
          <w:sz w:val="24"/>
        </w:rPr>
        <w:t xml:space="preserve"> through primitive streak (caudal, day 15).</w:t>
      </w:r>
    </w:p>
    <w:p w14:paraId="7340897A" w14:textId="35185FFD" w:rsidR="00F3449B" w:rsidRPr="00F3449B" w:rsidRDefault="00F3449B" w:rsidP="00F3449B">
      <w:pPr>
        <w:spacing w:after="200" w:line="276" w:lineRule="auto"/>
        <w:rPr>
          <w:bCs/>
          <w:sz w:val="24"/>
        </w:rPr>
      </w:pPr>
      <w:r w:rsidRPr="00F3449B">
        <w:rPr>
          <w:bCs/>
          <w:sz w:val="24"/>
        </w:rPr>
        <w:t>Non-migrating epiblast → ectoderm (neural</w:t>
      </w:r>
      <w:r>
        <w:rPr>
          <w:bCs/>
          <w:sz w:val="24"/>
        </w:rPr>
        <w:t xml:space="preserve"> or </w:t>
      </w:r>
      <w:r w:rsidRPr="00F3449B">
        <w:rPr>
          <w:bCs/>
          <w:sz w:val="24"/>
        </w:rPr>
        <w:t>surface).</w:t>
      </w:r>
    </w:p>
    <w:p w14:paraId="66723B1F" w14:textId="77777777" w:rsidR="00F3449B" w:rsidRDefault="00F3449B" w:rsidP="00F3449B">
      <w:pPr>
        <w:spacing w:after="200" w:line="276" w:lineRule="auto"/>
        <w:rPr>
          <w:bCs/>
          <w:sz w:val="24"/>
        </w:rPr>
      </w:pPr>
      <w:proofErr w:type="spellStart"/>
      <w:r w:rsidRPr="00F3449B">
        <w:rPr>
          <w:bCs/>
          <w:sz w:val="24"/>
        </w:rPr>
        <w:t>Ingressing</w:t>
      </w:r>
      <w:proofErr w:type="spellEnd"/>
      <w:r w:rsidRPr="00F3449B">
        <w:rPr>
          <w:bCs/>
          <w:sz w:val="24"/>
        </w:rPr>
        <w:t xml:space="preserve"> cells: </w:t>
      </w:r>
    </w:p>
    <w:p w14:paraId="32DF9DB1" w14:textId="77777777" w:rsidR="00F3449B" w:rsidRDefault="00F3449B" w:rsidP="00F3449B">
      <w:pPr>
        <w:pStyle w:val="ListParagraph"/>
        <w:numPr>
          <w:ilvl w:val="0"/>
          <w:numId w:val="2"/>
        </w:numPr>
        <w:spacing w:after="200" w:line="276" w:lineRule="auto"/>
        <w:rPr>
          <w:bCs/>
          <w:sz w:val="24"/>
        </w:rPr>
      </w:pPr>
      <w:r w:rsidRPr="00F3449B">
        <w:rPr>
          <w:bCs/>
          <w:sz w:val="24"/>
        </w:rPr>
        <w:t>Cranial (</w:t>
      </w:r>
      <w:r w:rsidRPr="00F3449B">
        <w:rPr>
          <w:bCs/>
          <w:sz w:val="24"/>
        </w:rPr>
        <w:t>primitive</w:t>
      </w:r>
      <w:r w:rsidRPr="00F3449B">
        <w:rPr>
          <w:bCs/>
          <w:sz w:val="24"/>
        </w:rPr>
        <w:t xml:space="preserve"> node → notochord</w:t>
      </w:r>
      <w:r w:rsidRPr="00F3449B">
        <w:rPr>
          <w:bCs/>
          <w:sz w:val="24"/>
        </w:rPr>
        <w:t xml:space="preserve"> or </w:t>
      </w:r>
      <w:r w:rsidRPr="00F3449B">
        <w:rPr>
          <w:bCs/>
          <w:sz w:val="24"/>
        </w:rPr>
        <w:t>axial mesoderm)</w:t>
      </w:r>
    </w:p>
    <w:p w14:paraId="59C98E16" w14:textId="77777777" w:rsidR="00F3449B" w:rsidRDefault="00F3449B" w:rsidP="00F3449B">
      <w:pPr>
        <w:pStyle w:val="ListParagraph"/>
        <w:numPr>
          <w:ilvl w:val="0"/>
          <w:numId w:val="2"/>
        </w:numPr>
        <w:spacing w:after="200" w:line="276" w:lineRule="auto"/>
        <w:rPr>
          <w:bCs/>
          <w:sz w:val="24"/>
        </w:rPr>
      </w:pPr>
      <w:r>
        <w:rPr>
          <w:bCs/>
          <w:sz w:val="24"/>
        </w:rPr>
        <w:t>I</w:t>
      </w:r>
      <w:r w:rsidRPr="00F3449B">
        <w:rPr>
          <w:bCs/>
          <w:sz w:val="24"/>
        </w:rPr>
        <w:t>ntermediate (paraxial/intermediate mesoderm)</w:t>
      </w:r>
    </w:p>
    <w:p w14:paraId="0DE6F4A6" w14:textId="245CD4EF" w:rsidR="00F3449B" w:rsidRPr="00F3449B" w:rsidRDefault="00F3449B" w:rsidP="00F3449B">
      <w:pPr>
        <w:pStyle w:val="ListParagraph"/>
        <w:numPr>
          <w:ilvl w:val="0"/>
          <w:numId w:val="2"/>
        </w:numPr>
        <w:spacing w:after="200" w:line="276" w:lineRule="auto"/>
        <w:rPr>
          <w:bCs/>
          <w:sz w:val="24"/>
        </w:rPr>
      </w:pPr>
      <w:r>
        <w:rPr>
          <w:bCs/>
          <w:sz w:val="24"/>
        </w:rPr>
        <w:t>C</w:t>
      </w:r>
      <w:r w:rsidRPr="00F3449B">
        <w:rPr>
          <w:bCs/>
          <w:sz w:val="24"/>
        </w:rPr>
        <w:t>audal (lateral plate).</w:t>
      </w:r>
    </w:p>
    <w:p w14:paraId="74B2AF04" w14:textId="70444A5C" w:rsidR="00F3449B" w:rsidRPr="000E3D21" w:rsidRDefault="00F3449B" w:rsidP="00F3449B">
      <w:pPr>
        <w:spacing w:after="200" w:line="276" w:lineRule="auto"/>
        <w:rPr>
          <w:b/>
          <w:sz w:val="24"/>
        </w:rPr>
      </w:pPr>
      <w:r w:rsidRPr="00F3449B">
        <w:rPr>
          <w:bCs/>
          <w:sz w:val="24"/>
        </w:rPr>
        <w:t xml:space="preserve">Definitive endoderm from </w:t>
      </w:r>
      <w:proofErr w:type="spellStart"/>
      <w:r w:rsidRPr="00F3449B">
        <w:rPr>
          <w:bCs/>
          <w:sz w:val="24"/>
        </w:rPr>
        <w:t>mesendoderm</w:t>
      </w:r>
      <w:proofErr w:type="spellEnd"/>
      <w:r w:rsidRPr="00F3449B">
        <w:rPr>
          <w:bCs/>
          <w:sz w:val="24"/>
        </w:rPr>
        <w:t xml:space="preserve"> displaces hypoblast.</w:t>
      </w:r>
    </w:p>
    <w:p w14:paraId="03E34F78" w14:textId="77777777" w:rsidR="00307839" w:rsidRDefault="00307839" w:rsidP="00307839">
      <w:pPr>
        <w:spacing w:after="200" w:line="276" w:lineRule="auto"/>
        <w:rPr>
          <w:sz w:val="24"/>
        </w:rPr>
      </w:pPr>
      <w:r>
        <w:rPr>
          <w:sz w:val="24"/>
        </w:rPr>
        <w:t>[TIP]</w:t>
      </w:r>
      <w:r w:rsidR="00F3449B" w:rsidRPr="000E3D21">
        <w:rPr>
          <w:sz w:val="24"/>
        </w:rPr>
        <w:t xml:space="preserve">The third week of intra uterine life is also marked by the formation of the notochord. </w:t>
      </w:r>
    </w:p>
    <w:p w14:paraId="095B3C10" w14:textId="0036C01F" w:rsidR="00F3449B" w:rsidRDefault="00307839" w:rsidP="00307839">
      <w:pPr>
        <w:spacing w:after="200" w:line="276" w:lineRule="auto"/>
        <w:rPr>
          <w:sz w:val="24"/>
        </w:rPr>
      </w:pPr>
      <w:r>
        <w:rPr>
          <w:sz w:val="24"/>
        </w:rPr>
        <w:t>[CLINICAL]</w:t>
      </w:r>
      <w:r w:rsidR="00F3449B" w:rsidRPr="000E3D21">
        <w:rPr>
          <w:sz w:val="24"/>
        </w:rPr>
        <w:t>Gastrulation commences with the formation of Primitive streak.</w:t>
      </w:r>
    </w:p>
    <w:p w14:paraId="437AAD47" w14:textId="32244990" w:rsidR="00307839" w:rsidRDefault="00307839" w:rsidP="00307839">
      <w:pPr>
        <w:rPr>
          <w:noProof/>
          <w:lang w:eastAsia="en-IN"/>
        </w:rPr>
      </w:pPr>
      <w:r>
        <w:rPr>
          <w:noProof/>
          <w:lang w:eastAsia="en-IN"/>
        </w:rPr>
        <w:t>[WARNING]</w:t>
      </w:r>
      <w:r w:rsidRPr="00307839">
        <w:rPr>
          <w:noProof/>
          <w:lang w:eastAsia="en-IN"/>
        </w:rPr>
        <w:t>Gastrulation insights explain 40-50% of major congenital anomalies and early embryonic lethality</w:t>
      </w:r>
    </w:p>
    <w:p w14:paraId="3AD59D19" w14:textId="03C7A4C1" w:rsidR="00307839" w:rsidRDefault="00307839" w:rsidP="00307839">
      <w:pPr>
        <w:pStyle w:val="Heading2"/>
        <w:rPr>
          <w:noProof/>
          <w:lang w:eastAsia="en-IN"/>
        </w:rPr>
      </w:pPr>
      <w:r>
        <w:rPr>
          <w:noProof/>
          <w:lang w:eastAsia="en-IN"/>
        </w:rPr>
        <w:t xml:space="preserve">Clinical relevance </w:t>
      </w:r>
    </w:p>
    <w:p w14:paraId="15069A20" w14:textId="77777777" w:rsidR="00307839" w:rsidRDefault="00307839" w:rsidP="00307839">
      <w:pPr>
        <w:rPr>
          <w:noProof/>
          <w:lang w:eastAsia="en-IN"/>
        </w:rPr>
      </w:pPr>
      <w:r w:rsidRPr="00307839">
        <w:rPr>
          <w:b/>
          <w:bCs/>
          <w:noProof/>
          <w:lang w:eastAsia="en-IN"/>
        </w:rPr>
        <w:t>Neural Tube Defects (NTDs)</w:t>
      </w:r>
      <w:r>
        <w:rPr>
          <w:noProof/>
          <w:lang w:eastAsia="en-IN"/>
        </w:rPr>
        <w:t>: Notochord induction failure (SHH disruption) → spina bifida (1:1,000); folic acid (0.4mg) reduces risk 70% by aiding methylation.</w:t>
      </w:r>
    </w:p>
    <w:p w14:paraId="39538316" w14:textId="4F0C11B1" w:rsidR="00307839" w:rsidRDefault="00307839" w:rsidP="00307839">
      <w:pPr>
        <w:rPr>
          <w:noProof/>
          <w:lang w:eastAsia="en-IN"/>
        </w:rPr>
      </w:pPr>
      <w:r w:rsidRPr="00307839">
        <w:rPr>
          <w:b/>
          <w:bCs/>
          <w:noProof/>
          <w:lang w:eastAsia="en-IN"/>
        </w:rPr>
        <w:t>Situs Inversus</w:t>
      </w:r>
      <w:r>
        <w:rPr>
          <w:noProof/>
          <w:lang w:eastAsia="en-IN"/>
        </w:rPr>
        <w:t>: Nodal asymmetry from streak defects; ciliopathies (e.g., Kartagener) cause 50% heterotaxy.</w:t>
      </w:r>
    </w:p>
    <w:p w14:paraId="53D8A514" w14:textId="77777777" w:rsidR="00307839" w:rsidRDefault="00307839" w:rsidP="00307839">
      <w:pPr>
        <w:rPr>
          <w:noProof/>
          <w:lang w:eastAsia="en-IN"/>
        </w:rPr>
      </w:pPr>
      <w:r w:rsidRPr="00307839">
        <w:rPr>
          <w:b/>
          <w:bCs/>
          <w:noProof/>
          <w:lang w:eastAsia="en-IN"/>
        </w:rPr>
        <w:t>Caudal Regression Syndrome</w:t>
      </w:r>
      <w:r>
        <w:rPr>
          <w:noProof/>
          <w:lang w:eastAsia="en-IN"/>
        </w:rPr>
        <w:t>: Incomplete streak regression (diabetes teratogen) → sirenomelia; maternal glycemic control prevents 80% cases.</w:t>
      </w:r>
    </w:p>
    <w:p w14:paraId="3941D20C" w14:textId="1D0FA1BF" w:rsidR="00307839" w:rsidRDefault="00307839" w:rsidP="00307839">
      <w:pPr>
        <w:rPr>
          <w:noProof/>
          <w:lang w:eastAsia="en-IN"/>
        </w:rPr>
      </w:pPr>
      <w:r w:rsidRPr="00307839">
        <w:rPr>
          <w:b/>
          <w:bCs/>
          <w:noProof/>
          <w:lang w:eastAsia="en-IN"/>
        </w:rPr>
        <w:t>IVF Embryo Viability</w:t>
      </w:r>
      <w:r>
        <w:rPr>
          <w:noProof/>
          <w:lang w:eastAsia="en-IN"/>
        </w:rPr>
        <w:t>: Gastrulation arrest in poor-quality blastocysts</w:t>
      </w:r>
    </w:p>
    <w:p w14:paraId="2D23F1C6" w14:textId="1D654511" w:rsidR="00307839" w:rsidRDefault="00307839" w:rsidP="00307839">
      <w:pPr>
        <w:rPr>
          <w:noProof/>
          <w:lang w:eastAsia="en-IN"/>
        </w:rPr>
      </w:pPr>
      <w:r w:rsidRPr="00307839">
        <w:rPr>
          <w:b/>
          <w:bCs/>
          <w:noProof/>
          <w:lang w:eastAsia="en-IN"/>
        </w:rPr>
        <w:t>Gastrulation Organoids</w:t>
      </w:r>
      <w:r>
        <w:rPr>
          <w:noProof/>
          <w:lang w:eastAsia="en-IN"/>
        </w:rPr>
        <w:t>: Model mesoderm induction for drug testing (e.g., valproate NTDs)</w:t>
      </w:r>
    </w:p>
    <w:p w14:paraId="56FF037B" w14:textId="77777777" w:rsidR="00307839" w:rsidRDefault="00307839" w:rsidP="00307839">
      <w:pPr>
        <w:rPr>
          <w:noProof/>
          <w:lang w:eastAsia="en-IN"/>
        </w:rPr>
      </w:pPr>
      <w:r w:rsidRPr="00307839">
        <w:rPr>
          <w:b/>
          <w:bCs/>
          <w:noProof/>
          <w:lang w:eastAsia="en-IN"/>
        </w:rPr>
        <w:lastRenderedPageBreak/>
        <w:t>Early Pregnancy Loss</w:t>
      </w:r>
      <w:r>
        <w:rPr>
          <w:noProof/>
          <w:lang w:eastAsia="en-IN"/>
        </w:rPr>
        <w:t>: ~30% from layer misspecification; serial hCG + USG (week 5) detects, with progesterone rescuing 15%.</w:t>
      </w:r>
    </w:p>
    <w:p w14:paraId="5F5C71C4" w14:textId="60037B3C" w:rsidR="00307839" w:rsidRPr="00307839" w:rsidRDefault="00307839" w:rsidP="00307839">
      <w:pPr>
        <w:rPr>
          <w:noProof/>
          <w:lang w:eastAsia="en-IN"/>
        </w:rPr>
      </w:pPr>
      <w:r w:rsidRPr="00307839">
        <w:rPr>
          <w:b/>
          <w:bCs/>
          <w:noProof/>
          <w:lang w:eastAsia="en-IN"/>
        </w:rPr>
        <w:t>Regenerative Medicine</w:t>
      </w:r>
      <w:r>
        <w:rPr>
          <w:noProof/>
          <w:lang w:eastAsia="en-IN"/>
        </w:rPr>
        <w:t>: EMT mimics for stem cell differentiation</w:t>
      </w:r>
    </w:p>
    <w:p w14:paraId="0C1BD5B5" w14:textId="5456671E" w:rsidR="00F3449B" w:rsidRPr="000E3D21" w:rsidRDefault="00F3449B" w:rsidP="00307839">
      <w:pPr>
        <w:rPr>
          <w:sz w:val="24"/>
        </w:rPr>
      </w:pPr>
    </w:p>
    <w:p w14:paraId="22E23475" w14:textId="77777777" w:rsidR="00F3449B" w:rsidRDefault="00F3449B" w:rsidP="00F3449B">
      <w:pPr>
        <w:jc w:val="center"/>
      </w:pPr>
    </w:p>
    <w:p w14:paraId="0C69855B" w14:textId="77777777" w:rsidR="00D674B7" w:rsidRDefault="00D674B7"/>
    <w:sectPr w:rsidR="00D67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81ACC"/>
    <w:multiLevelType w:val="hybridMultilevel"/>
    <w:tmpl w:val="56E63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A41B5"/>
    <w:multiLevelType w:val="hybridMultilevel"/>
    <w:tmpl w:val="880CD72A"/>
    <w:lvl w:ilvl="0" w:tplc="23387D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F27C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EAA4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BA34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5043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1812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9268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8827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2266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90759473">
    <w:abstractNumId w:val="1"/>
  </w:num>
  <w:num w:numId="2" w16cid:durableId="194314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49B"/>
    <w:rsid w:val="001435CC"/>
    <w:rsid w:val="00307839"/>
    <w:rsid w:val="004935B9"/>
    <w:rsid w:val="004C2BF6"/>
    <w:rsid w:val="005E08F3"/>
    <w:rsid w:val="00AA7CBC"/>
    <w:rsid w:val="00D674B7"/>
    <w:rsid w:val="00E212B7"/>
    <w:rsid w:val="00F3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0B374"/>
  <w15:chartTrackingRefBased/>
  <w15:docId w15:val="{67C95DEA-7AEB-43C9-A88B-7631FD843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49B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4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rPr>
      <w:b/>
      <w:color w:val="A02B93" w:themeColor="accent5"/>
      <w:sz w:val="32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rPr>
      <w:rFonts w:ascii="Cambria" w:hAnsi="Cambria"/>
      <w:color w:val="EE0000"/>
      <w:sz w:val="32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rPr>
      <w:rFonts w:ascii="Candara" w:hAnsi="Candara"/>
      <w:color w:val="E97132" w:themeColor="accent2"/>
      <w:sz w:val="28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34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4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4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783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2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2</cp:revision>
  <dcterms:created xsi:type="dcterms:W3CDTF">2026-01-13T00:56:00Z</dcterms:created>
  <dcterms:modified xsi:type="dcterms:W3CDTF">2026-01-13T06:48:00Z</dcterms:modified>
</cp:coreProperties>
</file>