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4C38A" w14:textId="77777777" w:rsidR="008C5978" w:rsidRDefault="008C5978" w:rsidP="00733137">
      <w:pPr>
        <w:pStyle w:val="Heading1"/>
      </w:pPr>
      <w:bookmarkStart w:id="0" w:name="_Toc392744129"/>
      <w:bookmarkStart w:id="1" w:name="_Toc469169042"/>
      <w:bookmarkStart w:id="2" w:name="_Toc218437394"/>
      <w:r>
        <w:t>Ovulation</w:t>
      </w:r>
      <w:bookmarkEnd w:id="0"/>
      <w:bookmarkEnd w:id="1"/>
      <w:bookmarkEnd w:id="2"/>
    </w:p>
    <w:p w14:paraId="5C15FF36" w14:textId="5A7DCD5D" w:rsidR="00733137" w:rsidRDefault="008C5978" w:rsidP="00733137">
      <w:pPr>
        <w:pStyle w:val="Heading2"/>
      </w:pPr>
      <w:r>
        <w:t>Definition</w:t>
      </w:r>
    </w:p>
    <w:p w14:paraId="0FFE77B4" w14:textId="1CAAB608" w:rsidR="008C5978" w:rsidRDefault="008C5978" w:rsidP="008C5978">
      <w:pPr>
        <w:spacing w:after="0" w:line="240" w:lineRule="auto"/>
      </w:pPr>
      <w:r>
        <w:t xml:space="preserve">The release of secondary oocyte with few cumulus </w:t>
      </w:r>
      <w:proofErr w:type="spellStart"/>
      <w:r>
        <w:t>oophorus</w:t>
      </w:r>
      <w:proofErr w:type="spellEnd"/>
      <w:r>
        <w:t xml:space="preserve"> cells along with first polar body encapsuled in zona pellucida from the surface of the ovary (Graafian follicle) and subsequent taking over by the </w:t>
      </w:r>
      <w:proofErr w:type="spellStart"/>
      <w:r>
        <w:t>fimbrial</w:t>
      </w:r>
      <w:proofErr w:type="spellEnd"/>
      <w:r>
        <w:t xml:space="preserve"> end of Fallopian tube fourteen days prior to next menstrual cycle </w:t>
      </w:r>
    </w:p>
    <w:p w14:paraId="3042DD87" w14:textId="77777777" w:rsidR="008C5978" w:rsidRDefault="008C5978" w:rsidP="008C5978">
      <w:pPr>
        <w:spacing w:after="0" w:line="240" w:lineRule="auto"/>
      </w:pPr>
    </w:p>
    <w:p w14:paraId="1039532C" w14:textId="77777777" w:rsidR="008C5978" w:rsidRDefault="008C5978" w:rsidP="008C5978">
      <w:pPr>
        <w:spacing w:after="0" w:line="240" w:lineRule="auto"/>
      </w:pPr>
      <w:r>
        <w:t>The oocyte enters the Fallopian tube aided by certain factors:</w:t>
      </w:r>
    </w:p>
    <w:p w14:paraId="02386B45" w14:textId="77777777" w:rsidR="008C5978" w:rsidRDefault="008C5978" w:rsidP="008C5978">
      <w:pPr>
        <w:pStyle w:val="ListParagraph"/>
        <w:numPr>
          <w:ilvl w:val="0"/>
          <w:numId w:val="2"/>
        </w:numPr>
        <w:spacing w:after="0" w:line="240" w:lineRule="auto"/>
      </w:pPr>
      <w:r>
        <w:t>The rupture of the follicle sets up currents in the peritoneal fluid, which carry the oocyte towards the ostium.</w:t>
      </w:r>
    </w:p>
    <w:p w14:paraId="4977F6F4" w14:textId="77777777" w:rsidR="008C5978" w:rsidRDefault="008C5978" w:rsidP="008C5978">
      <w:pPr>
        <w:pStyle w:val="ListParagraph"/>
        <w:numPr>
          <w:ilvl w:val="0"/>
          <w:numId w:val="2"/>
        </w:numPr>
        <w:spacing w:after="0" w:line="240" w:lineRule="auto"/>
      </w:pPr>
      <w:r>
        <w:t>Movement of fimbriae- the beating fimbriae pull the oocyte towards the ostium of the Fallopian tube.</w:t>
      </w:r>
    </w:p>
    <w:p w14:paraId="6E953B50" w14:textId="77777777" w:rsidR="00733137" w:rsidRDefault="00733137" w:rsidP="008C5978">
      <w:pPr>
        <w:spacing w:after="0" w:line="240" w:lineRule="auto"/>
      </w:pPr>
    </w:p>
    <w:p w14:paraId="2B56D6C4" w14:textId="77777777" w:rsidR="00733137" w:rsidRDefault="008C5978" w:rsidP="008C5978">
      <w:pPr>
        <w:spacing w:after="0" w:line="240" w:lineRule="auto"/>
      </w:pPr>
      <w:r>
        <w:t xml:space="preserve">On entering the Fallopian </w:t>
      </w:r>
      <w:proofErr w:type="gramStart"/>
      <w:r>
        <w:t>tube</w:t>
      </w:r>
      <w:proofErr w:type="gramEnd"/>
      <w:r>
        <w:t xml:space="preserve"> the oocyte proceeds towards the uterine cavity. </w:t>
      </w:r>
    </w:p>
    <w:p w14:paraId="0763DC93" w14:textId="77777777" w:rsidR="00733137" w:rsidRDefault="00733137" w:rsidP="008C5978">
      <w:pPr>
        <w:spacing w:after="0" w:line="240" w:lineRule="auto"/>
      </w:pPr>
    </w:p>
    <w:p w14:paraId="1A49D406" w14:textId="3D79DEC4" w:rsidR="008C5978" w:rsidRDefault="008C5978" w:rsidP="008C5978">
      <w:pPr>
        <w:spacing w:after="0" w:line="240" w:lineRule="auto"/>
      </w:pPr>
      <w:r>
        <w:t>It is facilitated by:</w:t>
      </w:r>
    </w:p>
    <w:p w14:paraId="1D57AB72" w14:textId="77777777" w:rsidR="008C5978" w:rsidRDefault="008C5978" w:rsidP="008C5978">
      <w:pPr>
        <w:pStyle w:val="ListParagraph"/>
        <w:numPr>
          <w:ilvl w:val="0"/>
          <w:numId w:val="3"/>
        </w:numPr>
        <w:spacing w:after="0" w:line="240" w:lineRule="auto"/>
        <w:ind w:left="709"/>
      </w:pPr>
      <w:r>
        <w:t>Beating of cilia of Fallopian tube towards the uterine cavity.</w:t>
      </w:r>
    </w:p>
    <w:p w14:paraId="4758EFE8" w14:textId="77777777" w:rsidR="008C5978" w:rsidRDefault="008C5978" w:rsidP="008C5978">
      <w:pPr>
        <w:pStyle w:val="ListParagraph"/>
        <w:numPr>
          <w:ilvl w:val="0"/>
          <w:numId w:val="3"/>
        </w:numPr>
        <w:spacing w:after="0" w:line="240" w:lineRule="auto"/>
        <w:ind w:left="709"/>
      </w:pPr>
      <w:r>
        <w:t>Contraction of the musculature of uterine tube.</w:t>
      </w:r>
    </w:p>
    <w:p w14:paraId="39F879AA" w14:textId="77777777" w:rsidR="008C5978" w:rsidRDefault="008C5978" w:rsidP="008C5978">
      <w:pPr>
        <w:spacing w:after="0" w:line="240" w:lineRule="auto"/>
      </w:pPr>
    </w:p>
    <w:p w14:paraId="0C603532" w14:textId="365F7DC8" w:rsidR="008C5978" w:rsidRDefault="00733137" w:rsidP="008C5978">
      <w:pPr>
        <w:spacing w:after="0" w:line="240" w:lineRule="auto"/>
      </w:pPr>
      <w:r>
        <w:t>[CLINICAL]</w:t>
      </w:r>
      <w:r w:rsidR="008C5978">
        <w:t>Normally the oocyte remains viable for 24 hrs after the ovulation.</w:t>
      </w:r>
    </w:p>
    <w:p w14:paraId="61E568BF" w14:textId="77777777" w:rsidR="008C5978" w:rsidRDefault="008C5978" w:rsidP="008C5978">
      <w:pPr>
        <w:spacing w:after="0" w:line="240" w:lineRule="auto"/>
      </w:pPr>
    </w:p>
    <w:p w14:paraId="38F06052" w14:textId="77777777" w:rsidR="008C5978" w:rsidRDefault="008C5978" w:rsidP="008C5978">
      <w:pPr>
        <w:spacing w:after="0" w:line="240" w:lineRule="auto"/>
      </w:pPr>
      <w:r>
        <w:t>If fertilization doesn't take place the oocyte is extruded along with the menstrual fluid.</w:t>
      </w:r>
    </w:p>
    <w:p w14:paraId="78AC0A12" w14:textId="77777777" w:rsidR="008C5978" w:rsidRDefault="008C5978" w:rsidP="008C5978">
      <w:pPr>
        <w:spacing w:after="0" w:line="240" w:lineRule="auto"/>
      </w:pPr>
    </w:p>
    <w:p w14:paraId="7B0B3E09" w14:textId="77777777" w:rsidR="008C5978" w:rsidRPr="001404A1" w:rsidRDefault="008C5978" w:rsidP="00497098">
      <w:pPr>
        <w:pStyle w:val="Heading2"/>
        <w:rPr>
          <w:lang w:val="en-US"/>
        </w:rPr>
      </w:pPr>
      <w:r w:rsidRPr="001404A1">
        <w:rPr>
          <w:lang w:val="en-US"/>
        </w:rPr>
        <w:t>Ovulation Monitoring</w:t>
      </w:r>
    </w:p>
    <w:p w14:paraId="7957D5E1" w14:textId="77777777" w:rsidR="008C5978" w:rsidRPr="001404A1" w:rsidRDefault="008C5978" w:rsidP="008C5978">
      <w:pPr>
        <w:numPr>
          <w:ilvl w:val="0"/>
          <w:numId w:val="1"/>
        </w:numPr>
        <w:spacing w:after="0" w:line="240" w:lineRule="auto"/>
      </w:pPr>
      <w:r w:rsidRPr="001404A1">
        <w:rPr>
          <w:lang w:val="en-US"/>
        </w:rPr>
        <w:t>Basal body temperature chart</w:t>
      </w:r>
    </w:p>
    <w:p w14:paraId="39B50742" w14:textId="77777777" w:rsidR="008C5978" w:rsidRPr="001404A1" w:rsidRDefault="008C5978" w:rsidP="008C5978">
      <w:pPr>
        <w:numPr>
          <w:ilvl w:val="0"/>
          <w:numId w:val="1"/>
        </w:numPr>
        <w:spacing w:after="0" w:line="240" w:lineRule="auto"/>
      </w:pPr>
      <w:r w:rsidRPr="001404A1">
        <w:rPr>
          <w:lang w:val="en-US"/>
        </w:rPr>
        <w:t>Daily transvaginal ultrasonography</w:t>
      </w:r>
    </w:p>
    <w:p w14:paraId="70E445D1" w14:textId="77777777" w:rsidR="008C5978" w:rsidRPr="001404A1" w:rsidRDefault="008C5978" w:rsidP="008C5978">
      <w:pPr>
        <w:numPr>
          <w:ilvl w:val="0"/>
          <w:numId w:val="1"/>
        </w:numPr>
        <w:spacing w:after="0" w:line="240" w:lineRule="auto"/>
      </w:pPr>
      <w:r w:rsidRPr="001404A1">
        <w:rPr>
          <w:lang w:val="en-US"/>
        </w:rPr>
        <w:t>Serial measurement of LH</w:t>
      </w:r>
    </w:p>
    <w:p w14:paraId="005750C6" w14:textId="77777777" w:rsidR="008C5978" w:rsidRPr="001404A1" w:rsidRDefault="008C5978" w:rsidP="008C5978">
      <w:pPr>
        <w:numPr>
          <w:ilvl w:val="0"/>
          <w:numId w:val="1"/>
        </w:numPr>
        <w:spacing w:after="0" w:line="240" w:lineRule="auto"/>
      </w:pPr>
      <w:r w:rsidRPr="001404A1">
        <w:rPr>
          <w:lang w:val="en-US"/>
        </w:rPr>
        <w:t>Estradiol E2</w:t>
      </w:r>
    </w:p>
    <w:p w14:paraId="30C27A7F" w14:textId="77777777" w:rsidR="008C5978" w:rsidRPr="001404A1" w:rsidRDefault="008C5978" w:rsidP="008C5978">
      <w:pPr>
        <w:numPr>
          <w:ilvl w:val="0"/>
          <w:numId w:val="1"/>
        </w:numPr>
        <w:spacing w:after="0" w:line="240" w:lineRule="auto"/>
      </w:pPr>
      <w:r w:rsidRPr="001404A1">
        <w:rPr>
          <w:lang w:val="en-US"/>
        </w:rPr>
        <w:t>Urinary LH</w:t>
      </w:r>
    </w:p>
    <w:p w14:paraId="1F8532FC" w14:textId="77777777" w:rsidR="00497098" w:rsidRDefault="00497098" w:rsidP="00497098"/>
    <w:p w14:paraId="6A6CD0BA" w14:textId="2D8341EF" w:rsidR="00497098" w:rsidRDefault="00497098" w:rsidP="00497098">
      <w:r>
        <w:t xml:space="preserve">[WARNING]Emerging: </w:t>
      </w:r>
      <w:r w:rsidRPr="00497098">
        <w:t>non-invasive saliva-based E2/LH (Adore Fertility 2025)</w:t>
      </w:r>
      <w:r>
        <w:t xml:space="preserve"> and </w:t>
      </w:r>
      <w:r w:rsidRPr="00497098">
        <w:t>AI-wearables for continuous tracking</w:t>
      </w:r>
      <w:r>
        <w:t xml:space="preserve">. </w:t>
      </w:r>
    </w:p>
    <w:p w14:paraId="614E2987" w14:textId="77777777" w:rsidR="00497098" w:rsidRDefault="00497098" w:rsidP="00497098"/>
    <w:p w14:paraId="10D104A6" w14:textId="7357721B" w:rsidR="00497098" w:rsidRDefault="00497098" w:rsidP="00497098">
      <w:pPr>
        <w:pStyle w:val="Heading2"/>
      </w:pPr>
      <w:r>
        <w:t xml:space="preserve">Clinical relevance </w:t>
      </w:r>
    </w:p>
    <w:p w14:paraId="103586ED" w14:textId="0A4C4040" w:rsidR="00497098" w:rsidRDefault="00497098" w:rsidP="00497098">
      <w:r>
        <w:t>Anovulation Diagnosis in PCOS: Absent LH surge</w:t>
      </w:r>
      <w:r>
        <w:t xml:space="preserve"> or </w:t>
      </w:r>
      <w:r>
        <w:t xml:space="preserve">follicle rupture </w:t>
      </w:r>
      <w:r>
        <w:t>as detected by transvaginal ultrasonography</w:t>
      </w:r>
    </w:p>
    <w:p w14:paraId="7085F4A2" w14:textId="060194B8" w:rsidR="00497098" w:rsidRDefault="00497098" w:rsidP="00497098">
      <w:r>
        <w:t xml:space="preserve">Timed Insemination/IVF: Monitoring (LH kits/USG) pinpoints 24-hour window; </w:t>
      </w:r>
      <w:proofErr w:type="spellStart"/>
      <w:r>
        <w:t>hCG</w:t>
      </w:r>
      <w:proofErr w:type="spellEnd"/>
      <w:r>
        <w:t xml:space="preserve"> trigger mimics surge for oocyte release, optimizing embryo transfer success</w:t>
      </w:r>
      <w:r>
        <w:t>.</w:t>
      </w:r>
    </w:p>
    <w:p w14:paraId="5E06D014" w14:textId="77777777" w:rsidR="00497098" w:rsidRDefault="00497098" w:rsidP="00497098">
      <w:r>
        <w:t>Luteal Phase Defect: Short post-ovulation phase (&lt;10 days) → progesterone supplementation; BBT charts detect, preventing implantation failure.</w:t>
      </w:r>
    </w:p>
    <w:p w14:paraId="46697864" w14:textId="05B31B2F" w:rsidR="00497098" w:rsidRDefault="00497098" w:rsidP="00497098"/>
    <w:p w14:paraId="573C6819" w14:textId="1264FCD4" w:rsidR="00497098" w:rsidRDefault="00497098" w:rsidP="00497098">
      <w:r>
        <w:lastRenderedPageBreak/>
        <w:t>Ovarian Hyperstimulation Syndrome (OHSS): Over-recruitment → multiple ovulations</w:t>
      </w:r>
    </w:p>
    <w:p w14:paraId="437263C5" w14:textId="77777777" w:rsidR="00497098" w:rsidRDefault="00497098" w:rsidP="00497098">
      <w:r>
        <w:t>Age-Related Decline: Immune-mediated rupture inefficiency (Northwestern 2025); AMH + antral count predicts; emerging Trim-Away tech targets meiotic errors for older oocytes.</w:t>
      </w:r>
    </w:p>
    <w:p w14:paraId="25AAF953" w14:textId="14888D02" w:rsidR="00497098" w:rsidRDefault="00497098" w:rsidP="00497098">
      <w:r>
        <w:t xml:space="preserve">Wearable Fertility Tracking: Real-time LH/E2 via apps empowers self-monitoring, reducing clinic visits for </w:t>
      </w:r>
      <w:proofErr w:type="spellStart"/>
      <w:r>
        <w:t>counseling</w:t>
      </w:r>
      <w:proofErr w:type="spellEnd"/>
      <w:r>
        <w:t>.</w:t>
      </w:r>
    </w:p>
    <w:p w14:paraId="37EA2B13" w14:textId="77777777" w:rsidR="00497098" w:rsidRPr="00497098" w:rsidRDefault="00497098" w:rsidP="00497098"/>
    <w:p w14:paraId="2FE22751" w14:textId="6B907085" w:rsidR="008C5978" w:rsidRDefault="008C5978" w:rsidP="008C5978"/>
    <w:p w14:paraId="27D535C5" w14:textId="77777777" w:rsidR="00D674B7" w:rsidRDefault="00D674B7"/>
    <w:sectPr w:rsidR="00D67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96662"/>
    <w:multiLevelType w:val="hybridMultilevel"/>
    <w:tmpl w:val="16D08AB6"/>
    <w:lvl w:ilvl="0" w:tplc="0A90A1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4CD2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8820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A6A7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D961E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F2E2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FAAD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AA98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D016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E587B54"/>
    <w:multiLevelType w:val="hybridMultilevel"/>
    <w:tmpl w:val="2D6CFA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AC9A54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49765B"/>
    <w:multiLevelType w:val="hybridMultilevel"/>
    <w:tmpl w:val="ECF883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39AD4B0">
      <w:numFmt w:val="bullet"/>
      <w:lvlText w:val="-"/>
      <w:lvlJc w:val="left"/>
      <w:pPr>
        <w:ind w:left="1800" w:hanging="360"/>
      </w:pPr>
      <w:rPr>
        <w:rFonts w:ascii="Calibri" w:eastAsiaTheme="minorHAnsi" w:hAnsi="Calibri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85189932">
    <w:abstractNumId w:val="0"/>
  </w:num>
  <w:num w:numId="2" w16cid:durableId="1967156883">
    <w:abstractNumId w:val="1"/>
  </w:num>
  <w:num w:numId="3" w16cid:durableId="16090476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978"/>
    <w:rsid w:val="00497098"/>
    <w:rsid w:val="004C2BF6"/>
    <w:rsid w:val="005E08F3"/>
    <w:rsid w:val="00733137"/>
    <w:rsid w:val="007D7D91"/>
    <w:rsid w:val="008C5978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2FECF"/>
  <w15:chartTrackingRefBased/>
  <w15:docId w15:val="{E92888E8-6AE4-4904-9802-D084F626F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97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5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5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rPr>
      <w:b/>
      <w:color w:val="A02B93" w:themeColor="accent5"/>
      <w:sz w:val="32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rPr>
      <w:rFonts w:ascii="Cambria" w:hAnsi="Cambria"/>
      <w:color w:val="EE0000"/>
      <w:sz w:val="32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rPr>
      <w:rFonts w:ascii="Candara" w:hAnsi="Candara"/>
      <w:color w:val="E97132" w:themeColor="accent2"/>
      <w:sz w:val="28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C5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5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9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709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</cp:revision>
  <dcterms:created xsi:type="dcterms:W3CDTF">2026-01-11T10:19:00Z</dcterms:created>
  <dcterms:modified xsi:type="dcterms:W3CDTF">2026-01-11T11:52:00Z</dcterms:modified>
</cp:coreProperties>
</file>