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1F967" w14:textId="6BCB3AC2" w:rsidR="00D674B7" w:rsidRDefault="00B72F0C" w:rsidP="00B72F0C">
      <w:pPr>
        <w:pStyle w:val="Heading1"/>
        <w:rPr>
          <w:lang w:val="en-US"/>
        </w:rPr>
      </w:pPr>
      <w:r>
        <w:rPr>
          <w:lang w:val="en-US"/>
        </w:rPr>
        <w:t xml:space="preserve">Prechordal plate </w:t>
      </w:r>
    </w:p>
    <w:p w14:paraId="5F0980DF" w14:textId="77777777" w:rsidR="00B72F0C" w:rsidRDefault="00B72F0C" w:rsidP="00B72F0C">
      <w:pPr>
        <w:pStyle w:val="ListParagraph"/>
        <w:numPr>
          <w:ilvl w:val="0"/>
          <w:numId w:val="2"/>
        </w:numPr>
      </w:pPr>
      <w:r>
        <w:t xml:space="preserve">It is a </w:t>
      </w:r>
      <w:r w:rsidRPr="00B72F0C">
        <w:t>transient, thickened region of the cranial epiblast in the bilaminar embryonic disc</w:t>
      </w:r>
      <w:r>
        <w:t>.</w:t>
      </w:r>
    </w:p>
    <w:p w14:paraId="6B65DB8A" w14:textId="77777777" w:rsidR="00B72F0C" w:rsidRDefault="00B72F0C" w:rsidP="00B72F0C">
      <w:pPr>
        <w:pStyle w:val="ListParagraph"/>
        <w:numPr>
          <w:ilvl w:val="0"/>
          <w:numId w:val="2"/>
        </w:numPr>
      </w:pPr>
      <w:r>
        <w:t>S</w:t>
      </w:r>
      <w:r w:rsidRPr="00B72F0C">
        <w:t>erv</w:t>
      </w:r>
      <w:r>
        <w:t>es</w:t>
      </w:r>
      <w:r w:rsidRPr="00B72F0C">
        <w:t xml:space="preserve"> as the rostral organizer for head and forebrain development. </w:t>
      </w:r>
    </w:p>
    <w:p w14:paraId="2C8CC09B" w14:textId="77777777" w:rsidR="00B72F0C" w:rsidRDefault="00B72F0C" w:rsidP="00B72F0C">
      <w:pPr>
        <w:pStyle w:val="ListParagraph"/>
        <w:numPr>
          <w:ilvl w:val="0"/>
          <w:numId w:val="2"/>
        </w:numPr>
      </w:pPr>
      <w:r w:rsidRPr="00B72F0C">
        <w:t>It precedes the notochord and plays a pivotal role in gastrulation</w:t>
      </w:r>
    </w:p>
    <w:p w14:paraId="10DB92F7" w14:textId="77777777" w:rsidR="00B72F0C" w:rsidRDefault="00B72F0C" w:rsidP="00B72F0C">
      <w:pPr>
        <w:pStyle w:val="ListParagraph"/>
        <w:numPr>
          <w:ilvl w:val="0"/>
          <w:numId w:val="2"/>
        </w:numPr>
      </w:pPr>
      <w:r>
        <w:t>It</w:t>
      </w:r>
      <w:r w:rsidRPr="00B72F0C">
        <w:t xml:space="preserve"> establish</w:t>
      </w:r>
      <w:r>
        <w:t>es</w:t>
      </w:r>
      <w:r w:rsidRPr="00B72F0C">
        <w:t xml:space="preserve"> the anterior-posterior (A-P) axis through SHH-dependent inhibition of BMP/</w:t>
      </w:r>
      <w:proofErr w:type="spellStart"/>
      <w:r w:rsidRPr="00B72F0C">
        <w:t>Wnt</w:t>
      </w:r>
      <w:proofErr w:type="spellEnd"/>
      <w:r w:rsidRPr="00B72F0C">
        <w:t xml:space="preserve"> </w:t>
      </w:r>
      <w:proofErr w:type="spellStart"/>
      <w:r w:rsidRPr="00B72F0C">
        <w:t>signaling</w:t>
      </w:r>
      <w:proofErr w:type="spellEnd"/>
      <w:r w:rsidRPr="00B72F0C">
        <w:t xml:space="preserve">, </w:t>
      </w:r>
    </w:p>
    <w:p w14:paraId="07174B7E" w14:textId="794DF8E3" w:rsidR="00B72F0C" w:rsidRPr="00B72F0C" w:rsidRDefault="00B72F0C" w:rsidP="00B72F0C">
      <w:pPr>
        <w:pStyle w:val="ListParagraph"/>
        <w:numPr>
          <w:ilvl w:val="0"/>
          <w:numId w:val="2"/>
        </w:numPr>
      </w:pPr>
      <w:r>
        <w:t>E</w:t>
      </w:r>
      <w:r w:rsidRPr="00B72F0C">
        <w:t>nsur</w:t>
      </w:r>
      <w:r>
        <w:t>es</w:t>
      </w:r>
      <w:r w:rsidRPr="00B72F0C">
        <w:t xml:space="preserve"> proper telencephalon and eye field formation.</w:t>
      </w:r>
    </w:p>
    <w:p w14:paraId="26AB3FED" w14:textId="77777777" w:rsidR="00B72F0C" w:rsidRDefault="00B72F0C" w:rsidP="00B72F0C">
      <w:r>
        <w:rPr>
          <w:lang w:val="en-US"/>
        </w:rPr>
        <w:t xml:space="preserve">[TIP]Prechordal plate cells are pioneer </w:t>
      </w:r>
      <w:proofErr w:type="spellStart"/>
      <w:r>
        <w:rPr>
          <w:lang w:val="en-US"/>
        </w:rPr>
        <w:t>ingressor</w:t>
      </w:r>
      <w:proofErr w:type="spellEnd"/>
      <w:r>
        <w:rPr>
          <w:lang w:val="en-US"/>
        </w:rPr>
        <w:t xml:space="preserve"> cells via </w:t>
      </w:r>
      <w:r w:rsidRPr="00B72F0C">
        <w:t>RhoA/ROCK cytoskeleton, with Eph/ephrin guiding rostral path</w:t>
      </w:r>
    </w:p>
    <w:p w14:paraId="461FAE11" w14:textId="0355E76E" w:rsidR="00B72F0C" w:rsidRDefault="00B72F0C" w:rsidP="00B72F0C">
      <w:r w:rsidRPr="00B72F0C">
        <w:t xml:space="preserve">RhoA/ROCK </w:t>
      </w:r>
      <w:proofErr w:type="spellStart"/>
      <w:r w:rsidRPr="00B72F0C">
        <w:t>signaling</w:t>
      </w:r>
      <w:proofErr w:type="spellEnd"/>
      <w:r w:rsidRPr="00B72F0C">
        <w:t xml:space="preserve"> pathway</w:t>
      </w:r>
      <w:r w:rsidRPr="00B72F0C">
        <w:t xml:space="preserve"> </w:t>
      </w:r>
      <w:r w:rsidRPr="00B72F0C">
        <w:t>is essential for the apical constriction and force generation required for individual cells to ingress through the primitive streak/node, a process that involves epithelial-to-mesenchymal transition (EMT).</w:t>
      </w:r>
    </w:p>
    <w:p w14:paraId="070925D6" w14:textId="11EF71FE" w:rsidR="00B72F0C" w:rsidRDefault="00B72F0C" w:rsidP="00B72F0C">
      <w:r>
        <w:rPr>
          <w:noProof/>
        </w:rPr>
        <w:drawing>
          <wp:inline distT="0" distB="0" distL="0" distR="0" wp14:anchorId="7283544C" wp14:editId="28E35AAB">
            <wp:extent cx="5731510" cy="2856865"/>
            <wp:effectExtent l="0" t="0" r="2540" b="635"/>
            <wp:docPr id="1455916360" name="Picture 1" descr="Formation of Germ Layers and Early Derivatives - Clin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tion of Germ Layers and Early Derivatives - Clinical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56865"/>
                    </a:xfrm>
                    <a:prstGeom prst="rect">
                      <a:avLst/>
                    </a:prstGeom>
                    <a:noFill/>
                    <a:ln>
                      <a:noFill/>
                    </a:ln>
                  </pic:spPr>
                </pic:pic>
              </a:graphicData>
            </a:graphic>
          </wp:inline>
        </w:drawing>
      </w:r>
    </w:p>
    <w:p w14:paraId="3524FFCA" w14:textId="6FC5DB9C" w:rsidR="00B72F0C" w:rsidRDefault="00B025C0" w:rsidP="00B72F0C">
      <w:r>
        <w:t>[CLINICAL]</w:t>
      </w:r>
      <w:r w:rsidR="00B72F0C" w:rsidRPr="00B72F0C">
        <w:t>Epigenetic Regulation: H3K4me3 marks activate SHH in prechordal cells, linking maternal folate to methylation for defect prevention</w:t>
      </w:r>
    </w:p>
    <w:p w14:paraId="16A1E23A" w14:textId="3B267252" w:rsidR="00B025C0" w:rsidRDefault="00B025C0" w:rsidP="00B72F0C">
      <w:r w:rsidRPr="00B025C0">
        <w:rPr>
          <w:b/>
          <w:bCs/>
        </w:rPr>
        <w:t>H3K4me3</w:t>
      </w:r>
      <w:r w:rsidRPr="00B025C0">
        <w:t> is a central epigenetic mediator in the prevention of </w:t>
      </w:r>
      <w:r w:rsidRPr="00B025C0">
        <w:rPr>
          <w:b/>
          <w:bCs/>
        </w:rPr>
        <w:t>neural tube defects (NTDs)</w:t>
      </w:r>
      <w:r w:rsidRPr="00B025C0">
        <w:t> by maintaining appropriate transcriptional programs during embryogenesis. </w:t>
      </w:r>
    </w:p>
    <w:p w14:paraId="0ED32789" w14:textId="77777777" w:rsidR="00B025C0" w:rsidRPr="00B72F0C" w:rsidRDefault="00B025C0" w:rsidP="00B72F0C"/>
    <w:p w14:paraId="7DC5F4E1" w14:textId="77777777" w:rsidR="00B025C0" w:rsidRPr="00B025C0" w:rsidRDefault="00B025C0" w:rsidP="00B025C0">
      <w:pPr>
        <w:pStyle w:val="Heading2"/>
      </w:pPr>
      <w:r w:rsidRPr="00B025C0">
        <w:t>Transgenerational Epigenetic Stability</w:t>
      </w:r>
    </w:p>
    <w:p w14:paraId="2E506023" w14:textId="77777777" w:rsidR="00B025C0" w:rsidRPr="00B025C0" w:rsidRDefault="00B025C0" w:rsidP="00B025C0">
      <w:r w:rsidRPr="00B025C0">
        <w:t>Folate levels in parents (specifically paternal folate) are critical for ensuring the fidelity of the sperm epigenome: </w:t>
      </w:r>
    </w:p>
    <w:p w14:paraId="5C84F70E" w14:textId="77777777" w:rsidR="00B025C0" w:rsidRPr="00B025C0" w:rsidRDefault="00B025C0" w:rsidP="00B025C0">
      <w:pPr>
        <w:numPr>
          <w:ilvl w:val="0"/>
          <w:numId w:val="3"/>
        </w:numPr>
      </w:pPr>
      <w:r w:rsidRPr="00B025C0">
        <w:rPr>
          <w:b/>
          <w:bCs/>
        </w:rPr>
        <w:lastRenderedPageBreak/>
        <w:t>Paternal Transmission:</w:t>
      </w:r>
      <w:r w:rsidRPr="00B025C0">
        <w:t> Folate deficiency alters H3K4me3 marks in sperm at specific developmental loci and enhancers.</w:t>
      </w:r>
    </w:p>
    <w:p w14:paraId="7406B3D7" w14:textId="77777777" w:rsidR="00B025C0" w:rsidRPr="00B025C0" w:rsidRDefault="00B025C0" w:rsidP="00B025C0">
      <w:pPr>
        <w:numPr>
          <w:ilvl w:val="0"/>
          <w:numId w:val="3"/>
        </w:numPr>
      </w:pPr>
      <w:r w:rsidRPr="00B025C0">
        <w:rPr>
          <w:b/>
          <w:bCs/>
        </w:rPr>
        <w:t>Embryonic Priming:</w:t>
      </w:r>
      <w:r w:rsidRPr="00B025C0">
        <w:t> These aberrant H3K4me3 marks can be transmitted to the embryo and are retained during early cleavage stages. Adequate folate prevents these "epigenetic errors" from accumulating, thereby ensuring that early embryonic genes are expressed at the correct timing and magnitude. </w:t>
      </w:r>
    </w:p>
    <w:p w14:paraId="480F8E4C" w14:textId="05C73F5B" w:rsidR="00B72F0C" w:rsidRDefault="00B025C0" w:rsidP="00B025C0">
      <w:pPr>
        <w:pStyle w:val="Heading2"/>
      </w:pPr>
      <w:r w:rsidRPr="00B025C0">
        <w:t>Defects Linked to H3K4me3/Folate Imbalance</w:t>
      </w:r>
    </w:p>
    <w:p w14:paraId="63D870FF" w14:textId="77777777" w:rsidR="00B025C0" w:rsidRPr="00B025C0" w:rsidRDefault="00B025C0" w:rsidP="00B025C0">
      <w:pPr>
        <w:numPr>
          <w:ilvl w:val="0"/>
          <w:numId w:val="4"/>
        </w:numPr>
      </w:pPr>
      <w:r w:rsidRPr="00B025C0">
        <w:rPr>
          <w:b/>
          <w:bCs/>
        </w:rPr>
        <w:t>Anencephaly:</w:t>
      </w:r>
      <w:r w:rsidRPr="00B025C0">
        <w:t> Failure of the cranial neural tube to close.</w:t>
      </w:r>
    </w:p>
    <w:p w14:paraId="0173C56D" w14:textId="77777777" w:rsidR="00B025C0" w:rsidRPr="00B025C0" w:rsidRDefault="00B025C0" w:rsidP="00B025C0">
      <w:pPr>
        <w:numPr>
          <w:ilvl w:val="0"/>
          <w:numId w:val="4"/>
        </w:numPr>
      </w:pPr>
      <w:r w:rsidRPr="00B025C0">
        <w:rPr>
          <w:b/>
          <w:bCs/>
        </w:rPr>
        <w:t>Spina Bifida:</w:t>
      </w:r>
      <w:r w:rsidRPr="00B025C0">
        <w:t> Failure of the caudal neural tube to close.</w:t>
      </w:r>
    </w:p>
    <w:p w14:paraId="3F98BF74" w14:textId="77777777" w:rsidR="00B025C0" w:rsidRDefault="00B025C0" w:rsidP="00B72F0C"/>
    <w:p w14:paraId="2B3F1CEA" w14:textId="77777777" w:rsidR="00B72F0C" w:rsidRPr="00B72F0C" w:rsidRDefault="00B72F0C" w:rsidP="00B72F0C"/>
    <w:p w14:paraId="2708A0CB" w14:textId="12C034A7" w:rsidR="00B72F0C" w:rsidRPr="00B72F0C" w:rsidRDefault="00B72F0C">
      <w:pPr>
        <w:rPr>
          <w:lang w:val="en-US"/>
        </w:rPr>
      </w:pPr>
    </w:p>
    <w:sectPr w:rsidR="00B72F0C" w:rsidRPr="00B72F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753C1"/>
    <w:multiLevelType w:val="hybridMultilevel"/>
    <w:tmpl w:val="AD4E0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00B51DF"/>
    <w:multiLevelType w:val="multilevel"/>
    <w:tmpl w:val="4C6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183BEB"/>
    <w:multiLevelType w:val="multilevel"/>
    <w:tmpl w:val="B8A4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CD6972"/>
    <w:multiLevelType w:val="hybridMultilevel"/>
    <w:tmpl w:val="16727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2292427">
    <w:abstractNumId w:val="3"/>
  </w:num>
  <w:num w:numId="2" w16cid:durableId="1168397639">
    <w:abstractNumId w:val="0"/>
  </w:num>
  <w:num w:numId="3" w16cid:durableId="71634256">
    <w:abstractNumId w:val="2"/>
  </w:num>
  <w:num w:numId="4" w16cid:durableId="1542396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0C"/>
    <w:rsid w:val="004C2BF6"/>
    <w:rsid w:val="005E08F3"/>
    <w:rsid w:val="00B025C0"/>
    <w:rsid w:val="00B15EB3"/>
    <w:rsid w:val="00B72F0C"/>
    <w:rsid w:val="00D674B7"/>
    <w:rsid w:val="00E212B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57515"/>
  <w15:chartTrackingRefBased/>
  <w15:docId w15:val="{2E01F1B4-9734-418E-B418-C565E9927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2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box">
    <w:name w:val="note-box"/>
    <w:basedOn w:val="Normal"/>
    <w:link w:val="note-boxChar"/>
    <w:autoRedefine/>
    <w:qFormat/>
    <w:rsid w:val="004C2BF6"/>
    <w:pPr>
      <w:spacing w:line="259" w:lineRule="auto"/>
    </w:pPr>
    <w:rPr>
      <w:b/>
      <w:color w:val="A02B93" w:themeColor="accent5"/>
      <w:kern w:val="0"/>
      <w:sz w:val="32"/>
      <w:szCs w:val="22"/>
      <w14:ligatures w14:val="none"/>
    </w:rPr>
  </w:style>
  <w:style w:type="character" w:customStyle="1" w:styleId="note-boxChar">
    <w:name w:val="note-box Char"/>
    <w:basedOn w:val="DefaultParagraphFont"/>
    <w:link w:val="note-box"/>
    <w:rsid w:val="004C2BF6"/>
    <w:rPr>
      <w:b/>
      <w:color w:val="A02B93" w:themeColor="accent5"/>
      <w:kern w:val="0"/>
      <w:sz w:val="32"/>
      <w:szCs w:val="22"/>
      <w14:ligatures w14:val="none"/>
    </w:rPr>
  </w:style>
  <w:style w:type="paragraph" w:customStyle="1" w:styleId="warning-box">
    <w:name w:val="warning-box"/>
    <w:basedOn w:val="Normal"/>
    <w:link w:val="warning-boxChar"/>
    <w:autoRedefine/>
    <w:qFormat/>
    <w:rsid w:val="004C2BF6"/>
    <w:pPr>
      <w:spacing w:line="259" w:lineRule="auto"/>
    </w:pPr>
    <w:rPr>
      <w:rFonts w:ascii="Cambria" w:hAnsi="Cambria"/>
      <w:color w:val="EE0000"/>
      <w:kern w:val="0"/>
      <w:sz w:val="32"/>
      <w:szCs w:val="22"/>
      <w14:ligatures w14:val="none"/>
    </w:rPr>
  </w:style>
  <w:style w:type="character" w:customStyle="1" w:styleId="warning-boxChar">
    <w:name w:val="warning-box Char"/>
    <w:basedOn w:val="DefaultParagraphFont"/>
    <w:link w:val="warning-box"/>
    <w:rsid w:val="004C2BF6"/>
    <w:rPr>
      <w:rFonts w:ascii="Cambria" w:hAnsi="Cambria"/>
      <w:color w:val="EE0000"/>
      <w:kern w:val="0"/>
      <w:sz w:val="32"/>
      <w:szCs w:val="22"/>
      <w14:ligatures w14:val="none"/>
    </w:rPr>
  </w:style>
  <w:style w:type="paragraph" w:customStyle="1" w:styleId="clinical-box">
    <w:name w:val="clinical-box"/>
    <w:basedOn w:val="Normal"/>
    <w:link w:val="clinical-boxChar"/>
    <w:autoRedefine/>
    <w:qFormat/>
    <w:rsid w:val="004C2BF6"/>
    <w:pPr>
      <w:spacing w:line="259" w:lineRule="auto"/>
    </w:pPr>
    <w:rPr>
      <w:rFonts w:ascii="Candara" w:hAnsi="Candara"/>
      <w:color w:val="E97132" w:themeColor="accent2"/>
      <w:kern w:val="0"/>
      <w:sz w:val="28"/>
      <w:szCs w:val="22"/>
      <w14:ligatures w14:val="none"/>
    </w:rPr>
  </w:style>
  <w:style w:type="character" w:customStyle="1" w:styleId="clinical-boxChar">
    <w:name w:val="clinical-box Char"/>
    <w:basedOn w:val="DefaultParagraphFont"/>
    <w:link w:val="clinical-box"/>
    <w:rsid w:val="004C2BF6"/>
    <w:rPr>
      <w:rFonts w:ascii="Candara" w:hAnsi="Candara"/>
      <w:color w:val="E97132" w:themeColor="accent2"/>
      <w:kern w:val="0"/>
      <w:sz w:val="28"/>
      <w:szCs w:val="22"/>
      <w14:ligatures w14:val="none"/>
    </w:rPr>
  </w:style>
  <w:style w:type="character" w:customStyle="1" w:styleId="Heading1Char">
    <w:name w:val="Heading 1 Char"/>
    <w:basedOn w:val="DefaultParagraphFont"/>
    <w:link w:val="Heading1"/>
    <w:uiPriority w:val="9"/>
    <w:rsid w:val="00B72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2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F0C"/>
    <w:rPr>
      <w:rFonts w:eastAsiaTheme="majorEastAsia" w:cstheme="majorBidi"/>
      <w:color w:val="272727" w:themeColor="text1" w:themeTint="D8"/>
    </w:rPr>
  </w:style>
  <w:style w:type="paragraph" w:styleId="Title">
    <w:name w:val="Title"/>
    <w:basedOn w:val="Normal"/>
    <w:next w:val="Normal"/>
    <w:link w:val="TitleChar"/>
    <w:uiPriority w:val="10"/>
    <w:qFormat/>
    <w:rsid w:val="00B72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F0C"/>
    <w:pPr>
      <w:spacing w:before="160"/>
      <w:jc w:val="center"/>
    </w:pPr>
    <w:rPr>
      <w:i/>
      <w:iCs/>
      <w:color w:val="404040" w:themeColor="text1" w:themeTint="BF"/>
    </w:rPr>
  </w:style>
  <w:style w:type="character" w:customStyle="1" w:styleId="QuoteChar">
    <w:name w:val="Quote Char"/>
    <w:basedOn w:val="DefaultParagraphFont"/>
    <w:link w:val="Quote"/>
    <w:uiPriority w:val="29"/>
    <w:rsid w:val="00B72F0C"/>
    <w:rPr>
      <w:i/>
      <w:iCs/>
      <w:color w:val="404040" w:themeColor="text1" w:themeTint="BF"/>
    </w:rPr>
  </w:style>
  <w:style w:type="paragraph" w:styleId="ListParagraph">
    <w:name w:val="List Paragraph"/>
    <w:basedOn w:val="Normal"/>
    <w:uiPriority w:val="34"/>
    <w:qFormat/>
    <w:rsid w:val="00B72F0C"/>
    <w:pPr>
      <w:ind w:left="720"/>
      <w:contextualSpacing/>
    </w:pPr>
  </w:style>
  <w:style w:type="character" w:styleId="IntenseEmphasis">
    <w:name w:val="Intense Emphasis"/>
    <w:basedOn w:val="DefaultParagraphFont"/>
    <w:uiPriority w:val="21"/>
    <w:qFormat/>
    <w:rsid w:val="00B72F0C"/>
    <w:rPr>
      <w:i/>
      <w:iCs/>
      <w:color w:val="0F4761" w:themeColor="accent1" w:themeShade="BF"/>
    </w:rPr>
  </w:style>
  <w:style w:type="paragraph" w:styleId="IntenseQuote">
    <w:name w:val="Intense Quote"/>
    <w:basedOn w:val="Normal"/>
    <w:next w:val="Normal"/>
    <w:link w:val="IntenseQuoteChar"/>
    <w:uiPriority w:val="30"/>
    <w:qFormat/>
    <w:rsid w:val="00B72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F0C"/>
    <w:rPr>
      <w:i/>
      <w:iCs/>
      <w:color w:val="0F4761" w:themeColor="accent1" w:themeShade="BF"/>
    </w:rPr>
  </w:style>
  <w:style w:type="character" w:styleId="IntenseReference">
    <w:name w:val="Intense Reference"/>
    <w:basedOn w:val="DefaultParagraphFont"/>
    <w:uiPriority w:val="32"/>
    <w:qFormat/>
    <w:rsid w:val="00B72F0C"/>
    <w:rPr>
      <w:b/>
      <w:bCs/>
      <w:smallCaps/>
      <w:color w:val="0F4761" w:themeColor="accent1" w:themeShade="BF"/>
      <w:spacing w:val="5"/>
    </w:rPr>
  </w:style>
  <w:style w:type="paragraph" w:styleId="NormalWeb">
    <w:name w:val="Normal (Web)"/>
    <w:basedOn w:val="Normal"/>
    <w:uiPriority w:val="99"/>
    <w:semiHidden/>
    <w:unhideWhenUsed/>
    <w:rsid w:val="00B72F0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cp:revision>
  <dcterms:created xsi:type="dcterms:W3CDTF">2026-01-12T07:27:00Z</dcterms:created>
  <dcterms:modified xsi:type="dcterms:W3CDTF">2026-01-12T07:44:00Z</dcterms:modified>
</cp:coreProperties>
</file>