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09A9" w14:textId="77777777" w:rsidR="006503A6" w:rsidRPr="009045C8" w:rsidRDefault="006503A6" w:rsidP="006503A6">
      <w:pPr>
        <w:pStyle w:val="Heading1"/>
      </w:pPr>
      <w:r w:rsidRPr="009045C8">
        <w:t xml:space="preserve">Development of </w:t>
      </w:r>
      <w:proofErr w:type="spellStart"/>
      <w:r w:rsidRPr="009045C8">
        <w:t>Esophagus</w:t>
      </w:r>
      <w:proofErr w:type="spellEnd"/>
    </w:p>
    <w:p w14:paraId="58397827" w14:textId="77777777" w:rsidR="006503A6" w:rsidRDefault="006503A6" w:rsidP="006503A6">
      <w:pPr>
        <w:pStyle w:val="ListParagraph"/>
        <w:numPr>
          <w:ilvl w:val="0"/>
          <w:numId w:val="1"/>
        </w:numPr>
      </w:pPr>
      <w:r>
        <w:t>Caudal foregut forms fusiform dilatation (future stomach).</w:t>
      </w:r>
    </w:p>
    <w:p w14:paraId="2FC34F41" w14:textId="77777777" w:rsidR="006503A6" w:rsidRDefault="006503A6" w:rsidP="006503A6">
      <w:pPr>
        <w:pStyle w:val="ListParagraph"/>
        <w:numPr>
          <w:ilvl w:val="0"/>
          <w:numId w:val="1"/>
        </w:numPr>
      </w:pPr>
      <w:r>
        <w:t xml:space="preserve">Proximal to dilatation (and distal to tracheoesophageal diverticulum/septum formation) → </w:t>
      </w:r>
      <w:proofErr w:type="spellStart"/>
      <w:r>
        <w:t>esophagus</w:t>
      </w:r>
      <w:proofErr w:type="spellEnd"/>
      <w:r>
        <w:t xml:space="preserve"> (elongates rapidly weeks 4–8).</w:t>
      </w:r>
    </w:p>
    <w:p w14:paraId="72C43758" w14:textId="77777777" w:rsidR="006503A6" w:rsidRDefault="006503A6" w:rsidP="006503A6">
      <w:pPr>
        <w:pStyle w:val="Heading1"/>
      </w:pPr>
      <w:r w:rsidRPr="009045C8">
        <w:t>Development of Stomach</w:t>
      </w:r>
    </w:p>
    <w:p w14:paraId="6C8C16CA" w14:textId="77777777" w:rsidR="006503A6" w:rsidRDefault="006503A6" w:rsidP="006503A6">
      <w:r>
        <w:t>Caudal foregut fusiform dilatation suspended by ventral + dorsal mesogastria.</w:t>
      </w:r>
    </w:p>
    <w:p w14:paraId="55532BE8" w14:textId="77777777" w:rsidR="006503A6" w:rsidRDefault="006503A6" w:rsidP="006503A6">
      <w:pPr>
        <w:pStyle w:val="Heading3"/>
      </w:pPr>
      <w:r>
        <w:t>Initial: smooth lateral surfaces, sharp anterior/posterior borders.</w:t>
      </w:r>
    </w:p>
    <w:p w14:paraId="72C84C1A" w14:textId="77777777" w:rsidR="006503A6" w:rsidRDefault="006503A6" w:rsidP="006503A6">
      <w:r w:rsidRPr="009045C8">
        <w:drawing>
          <wp:inline distT="0" distB="0" distL="0" distR="0" wp14:anchorId="5C0B9570" wp14:editId="56ADD5D7">
            <wp:extent cx="5731510" cy="4970145"/>
            <wp:effectExtent l="0" t="0" r="2540" b="1905"/>
            <wp:docPr id="28674" name="Picture 2" descr="A diagram of a stom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" name="Picture 2" descr="A diagram of a stomac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1"/>
                    <a:stretch/>
                  </pic:blipFill>
                  <pic:spPr bwMode="auto"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91C8612" w14:textId="77777777" w:rsidR="006503A6" w:rsidRDefault="006503A6" w:rsidP="006503A6">
      <w:pPr>
        <w:pStyle w:val="Heading3"/>
      </w:pPr>
      <w:r>
        <w:lastRenderedPageBreak/>
        <w:t>Rotation: 90° clockwise (longitudinal axis)</w:t>
      </w:r>
    </w:p>
    <w:p w14:paraId="26502780" w14:textId="77777777" w:rsidR="006503A6" w:rsidRPr="009045C8" w:rsidRDefault="006503A6" w:rsidP="006503A6">
      <w:r w:rsidRPr="009045C8">
        <w:drawing>
          <wp:inline distT="0" distB="0" distL="0" distR="0" wp14:anchorId="57B96756" wp14:editId="7EBE27EE">
            <wp:extent cx="5731510" cy="2970530"/>
            <wp:effectExtent l="0" t="0" r="2540" b="1270"/>
            <wp:docPr id="27650" name="Picture 2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" name="Picture 2" descr="A diagram of a human bod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0"/>
                    <a:stretch/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C080D7F" w14:textId="77777777" w:rsidR="006503A6" w:rsidRDefault="006503A6" w:rsidP="006503A6">
      <w:r>
        <w:t>[TIP]Original posterior border → greater curvature (left), anterior border → lesser curvature (right).</w:t>
      </w:r>
    </w:p>
    <w:p w14:paraId="0BFAC397" w14:textId="77777777" w:rsidR="006503A6" w:rsidRDefault="006503A6" w:rsidP="006503A6">
      <w:r w:rsidRPr="009045C8">
        <w:drawing>
          <wp:inline distT="0" distB="0" distL="0" distR="0" wp14:anchorId="600EBF8F" wp14:editId="30D7B295">
            <wp:extent cx="5731510" cy="1555115"/>
            <wp:effectExtent l="0" t="0" r="2540" b="6985"/>
            <wp:docPr id="30722" name="Picture 2" descr="A close-up of a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Picture 2" descr="A close-up of a ha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57" b="16234"/>
                    <a:stretch/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E2E3479" w14:textId="77777777" w:rsidR="006503A6" w:rsidRDefault="006503A6" w:rsidP="006503A6">
      <w:r w:rsidRPr="009045C8">
        <w:lastRenderedPageBreak/>
        <w:drawing>
          <wp:inline distT="0" distB="0" distL="0" distR="0" wp14:anchorId="5DEACB9A" wp14:editId="1391CC1B">
            <wp:extent cx="5603432" cy="4345145"/>
            <wp:effectExtent l="0" t="0" r="0" b="0"/>
            <wp:docPr id="30723" name="Picture 3" descr="A diagram of a hand holding a curv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" name="Picture 3" descr="A diagram of a hand holding a curve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6"/>
                    <a:stretch/>
                  </pic:blipFill>
                  <pic:spPr bwMode="auto">
                    <a:xfrm>
                      <a:off x="0" y="0"/>
                      <a:ext cx="5603432" cy="43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3D9FDDC6" w14:textId="77777777" w:rsidR="006503A6" w:rsidRDefault="006503A6" w:rsidP="006503A6">
      <w:r>
        <w:t>Anteroposterior shift: Cranial end → left (cardia/fundus); caudal end → right (pylorus).</w:t>
      </w:r>
    </w:p>
    <w:p w14:paraId="390BCA46" w14:textId="77777777" w:rsidR="006503A6" w:rsidRDefault="006503A6" w:rsidP="006503A6">
      <w:r>
        <w:t xml:space="preserve">Shape change: Dorsal border grows faster → greater curvature; ventral border slower → lesser curvature. Dorsal mesogastrium expands → greater </w:t>
      </w:r>
      <w:proofErr w:type="spellStart"/>
      <w:r>
        <w:t>omentum</w:t>
      </w:r>
      <w:proofErr w:type="spellEnd"/>
    </w:p>
    <w:p w14:paraId="145BB500" w14:textId="77777777" w:rsidR="006503A6" w:rsidRPr="009045C8" w:rsidRDefault="006503A6" w:rsidP="006503A6">
      <w:pPr>
        <w:pStyle w:val="Heading2"/>
      </w:pPr>
      <w:r w:rsidRPr="009045C8">
        <w:t>Clinical Implications of Improper Stomach Development</w:t>
      </w:r>
    </w:p>
    <w:p w14:paraId="1D3B851D" w14:textId="77777777" w:rsidR="006503A6" w:rsidRPr="009045C8" w:rsidRDefault="006503A6" w:rsidP="006503A6">
      <w:pPr>
        <w:pStyle w:val="Heading3"/>
      </w:pPr>
      <w:r w:rsidRPr="009045C8">
        <w:t>Congenital Hypertrophic Pyloric Stenosis (IHPS)</w:t>
      </w:r>
    </w:p>
    <w:p w14:paraId="0F6E6149" w14:textId="77777777" w:rsidR="006503A6" w:rsidRDefault="006503A6" w:rsidP="006503A6">
      <w:pPr>
        <w:pStyle w:val="ListParagraph"/>
        <w:numPr>
          <w:ilvl w:val="0"/>
          <w:numId w:val="2"/>
        </w:numPr>
      </w:pPr>
      <w:r w:rsidRPr="009045C8">
        <w:t xml:space="preserve">Most common surgical cause of GI obstruction in infants (incidence ~2–3/1000 live births, male predominance). </w:t>
      </w:r>
    </w:p>
    <w:p w14:paraId="1896E665" w14:textId="77777777" w:rsidR="006503A6" w:rsidRDefault="006503A6" w:rsidP="006503A6">
      <w:pPr>
        <w:pStyle w:val="ListParagraph"/>
        <w:numPr>
          <w:ilvl w:val="0"/>
          <w:numId w:val="2"/>
        </w:numPr>
      </w:pPr>
      <w:r w:rsidRPr="009045C8">
        <w:t xml:space="preserve">Due to hypertrophy/hyperplasia of pyloric circular muscle → gastric outlet obstruction. </w:t>
      </w:r>
    </w:p>
    <w:p w14:paraId="70115EFF" w14:textId="77777777" w:rsidR="006503A6" w:rsidRDefault="006503A6" w:rsidP="006503A6">
      <w:pPr>
        <w:pStyle w:val="ListParagraph"/>
        <w:numPr>
          <w:ilvl w:val="0"/>
          <w:numId w:val="2"/>
        </w:numPr>
      </w:pPr>
      <w:r w:rsidRPr="009045C8">
        <w:t xml:space="preserve">Presents at 2–8 weeks with projectile non-bilious vomiting, "olive" mass on palpation, </w:t>
      </w:r>
      <w:proofErr w:type="spellStart"/>
      <w:r w:rsidRPr="009045C8">
        <w:t>hypochloremic</w:t>
      </w:r>
      <w:proofErr w:type="spellEnd"/>
      <w:r w:rsidRPr="009045C8">
        <w:t xml:space="preserve"> metabolic alkalosis. </w:t>
      </w:r>
    </w:p>
    <w:p w14:paraId="65764037" w14:textId="77777777" w:rsidR="006503A6" w:rsidRDefault="006503A6" w:rsidP="006503A6">
      <w:pPr>
        <w:pStyle w:val="ListParagraph"/>
        <w:numPr>
          <w:ilvl w:val="0"/>
          <w:numId w:val="2"/>
        </w:numPr>
      </w:pPr>
      <w:r w:rsidRPr="009045C8">
        <w:t xml:space="preserve">Requires pyloromyotomy (Ramstedt procedure). </w:t>
      </w:r>
    </w:p>
    <w:p w14:paraId="048A6742" w14:textId="77777777" w:rsidR="006503A6" w:rsidRDefault="006503A6" w:rsidP="006503A6">
      <w:pPr>
        <w:pStyle w:val="ListParagraph"/>
        <w:numPr>
          <w:ilvl w:val="0"/>
          <w:numId w:val="2"/>
        </w:numPr>
      </w:pPr>
      <w:r w:rsidRPr="009045C8">
        <w:t xml:space="preserve">Untreated → severe dehydration, failure to thrive. </w:t>
      </w:r>
    </w:p>
    <w:p w14:paraId="4CA80A52" w14:textId="77777777" w:rsidR="006503A6" w:rsidRDefault="006503A6" w:rsidP="006503A6">
      <w:pPr>
        <w:pStyle w:val="ListParagraph"/>
        <w:numPr>
          <w:ilvl w:val="0"/>
          <w:numId w:val="2"/>
        </w:numPr>
      </w:pPr>
      <w:r w:rsidRPr="009045C8">
        <w:t>Not purely a rotation defect but linked to abnormal pyloric muscle development post-rotation; associated with genetic/environmental factors (e.g., macrolide exposure in neonates increases risk).</w:t>
      </w:r>
    </w:p>
    <w:p w14:paraId="65A0C03B" w14:textId="77777777" w:rsidR="006503A6" w:rsidRDefault="006503A6" w:rsidP="006503A6">
      <w:pPr>
        <w:pStyle w:val="Heading3"/>
      </w:pPr>
      <w:r w:rsidRPr="009045C8">
        <w:lastRenderedPageBreak/>
        <w:t>Abnormal Gastric Rotation or Positioning</w:t>
      </w:r>
    </w:p>
    <w:p w14:paraId="62FB8C78" w14:textId="77777777" w:rsidR="006503A6" w:rsidRPr="009045C8" w:rsidRDefault="006503A6" w:rsidP="006503A6">
      <w:pPr>
        <w:numPr>
          <w:ilvl w:val="0"/>
          <w:numId w:val="3"/>
        </w:numPr>
      </w:pPr>
      <w:r w:rsidRPr="009045C8">
        <w:rPr>
          <w:b/>
          <w:bCs/>
        </w:rPr>
        <w:t>Gastric volvulus</w:t>
      </w:r>
      <w:r w:rsidRPr="009045C8">
        <w:t xml:space="preserve"> (acute or chronic): Can occur if fixation via mesogastria is incomplete → stomach twists on axis, leading to ischemia, obstruction, Borchardt's triad (pain, retching without vomit, inability to pass NG tube). Surgical emergency (detorsion + gastropexy).</w:t>
      </w:r>
    </w:p>
    <w:p w14:paraId="6748CD27" w14:textId="77777777" w:rsidR="006503A6" w:rsidRPr="009045C8" w:rsidRDefault="006503A6" w:rsidP="006503A6">
      <w:pPr>
        <w:numPr>
          <w:ilvl w:val="0"/>
          <w:numId w:val="3"/>
        </w:numPr>
      </w:pPr>
      <w:r w:rsidRPr="009045C8">
        <w:rPr>
          <w:b/>
          <w:bCs/>
        </w:rPr>
        <w:t>Isolated gastric malrotation</w:t>
      </w:r>
      <w:r w:rsidRPr="009045C8">
        <w:t xml:space="preserve"> (rare, unlike midgut malrotation): May cause chronic pain or intermittent obstruction.</w:t>
      </w:r>
    </w:p>
    <w:p w14:paraId="6EF35125" w14:textId="77777777" w:rsidR="006503A6" w:rsidRDefault="006503A6" w:rsidP="006503A6">
      <w:pPr>
        <w:pStyle w:val="Heading3"/>
      </w:pPr>
      <w:r w:rsidRPr="009045C8">
        <w:t xml:space="preserve">Links to Broader Rotation Defects </w:t>
      </w:r>
    </w:p>
    <w:p w14:paraId="077CDB93" w14:textId="77777777" w:rsidR="006503A6" w:rsidRDefault="006503A6" w:rsidP="006503A6">
      <w:pPr>
        <w:pStyle w:val="ListParagraph"/>
        <w:numPr>
          <w:ilvl w:val="0"/>
          <w:numId w:val="4"/>
        </w:numPr>
      </w:pPr>
      <w:r w:rsidRPr="009045C8">
        <w:t xml:space="preserve">While stomach rotation is foregut-specific, incomplete foregut/midgut coordination can contribute to malrotation spectrum (e.g., in heterotaxy). </w:t>
      </w:r>
    </w:p>
    <w:p w14:paraId="5C0055DD" w14:textId="77777777" w:rsidR="006503A6" w:rsidRPr="009045C8" w:rsidRDefault="006503A6" w:rsidP="006503A6">
      <w:pPr>
        <w:pStyle w:val="ListParagraph"/>
        <w:numPr>
          <w:ilvl w:val="0"/>
          <w:numId w:val="4"/>
        </w:numPr>
      </w:pPr>
      <w:r w:rsidRPr="009045C8">
        <w:t>Midgut malrotation (more common) can indirectly affect stomach/duodenum position, leading to duodenal obstruction, volvulus (Ladd's bands), or chronic symptoms in older children/adults.</w:t>
      </w:r>
    </w:p>
    <w:p w14:paraId="13EAF9B9" w14:textId="77777777" w:rsidR="006503A6" w:rsidRDefault="006503A6" w:rsidP="006503A6"/>
    <w:p w14:paraId="387ADA0A" w14:textId="77777777" w:rsidR="006503A6" w:rsidRDefault="006503A6" w:rsidP="006503A6"/>
    <w:p w14:paraId="1BE08D35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40ED"/>
    <w:multiLevelType w:val="hybridMultilevel"/>
    <w:tmpl w:val="13E0F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9063F"/>
    <w:multiLevelType w:val="hybridMultilevel"/>
    <w:tmpl w:val="C02A9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F14FE"/>
    <w:multiLevelType w:val="multilevel"/>
    <w:tmpl w:val="2E0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213C8"/>
    <w:multiLevelType w:val="hybridMultilevel"/>
    <w:tmpl w:val="489E6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84060">
    <w:abstractNumId w:val="3"/>
  </w:num>
  <w:num w:numId="2" w16cid:durableId="1085153436">
    <w:abstractNumId w:val="1"/>
  </w:num>
  <w:num w:numId="3" w16cid:durableId="933169313">
    <w:abstractNumId w:val="2"/>
  </w:num>
  <w:num w:numId="4" w16cid:durableId="166955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A6"/>
    <w:rsid w:val="004C2BF6"/>
    <w:rsid w:val="005E08F3"/>
    <w:rsid w:val="006503A6"/>
    <w:rsid w:val="009017EB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0E69"/>
  <w15:chartTrackingRefBased/>
  <w15:docId w15:val="{02FE49A5-0E7D-48CE-A4B8-4037972E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A6"/>
  </w:style>
  <w:style w:type="paragraph" w:styleId="Heading1">
    <w:name w:val="heading 1"/>
    <w:basedOn w:val="Normal"/>
    <w:next w:val="Normal"/>
    <w:link w:val="Heading1Char"/>
    <w:uiPriority w:val="9"/>
    <w:qFormat/>
    <w:rsid w:val="0065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50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2026-02-17T13:33:00Z</dcterms:created>
  <dcterms:modified xsi:type="dcterms:W3CDTF">2026-02-17T13:34:00Z</dcterms:modified>
</cp:coreProperties>
</file>