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60AB" w14:textId="77777777" w:rsidR="006A6EE4" w:rsidRPr="006A6EE4" w:rsidRDefault="006A6EE4" w:rsidP="006A6EE4">
      <w:pPr>
        <w:pStyle w:val="Heading1"/>
      </w:pPr>
      <w:r w:rsidRPr="006A6EE4">
        <w:t>Development of GIT – Overview</w:t>
      </w:r>
    </w:p>
    <w:p w14:paraId="58D43B9D" w14:textId="77777777" w:rsidR="006A6EE4" w:rsidRPr="006A6EE4" w:rsidRDefault="006A6EE4" w:rsidP="006A6EE4">
      <w:pPr>
        <w:pStyle w:val="Heading2"/>
      </w:pPr>
      <w:r w:rsidRPr="006A6EE4">
        <w:t>Boundaries of Primitive Gut Tube:</w:t>
      </w:r>
    </w:p>
    <w:p w14:paraId="60FFD86B" w14:textId="77777777" w:rsidR="006A6EE4" w:rsidRPr="006A6EE4" w:rsidRDefault="006A6EE4" w:rsidP="006A6EE4">
      <w:pPr>
        <w:numPr>
          <w:ilvl w:val="0"/>
          <w:numId w:val="1"/>
        </w:numPr>
      </w:pPr>
      <w:r w:rsidRPr="006A6EE4">
        <w:t xml:space="preserve">Cranial: </w:t>
      </w:r>
      <w:r w:rsidRPr="006A6EE4">
        <w:rPr>
          <w:b/>
          <w:bCs/>
        </w:rPr>
        <w:t>Oropharyngeal (buccopharyngeal) membrane</w:t>
      </w:r>
      <w:r w:rsidRPr="006A6EE4">
        <w:t xml:space="preserve"> (ruptures → mouth opening).</w:t>
      </w:r>
    </w:p>
    <w:p w14:paraId="521E5E4E" w14:textId="77777777" w:rsidR="006A6EE4" w:rsidRPr="006A6EE4" w:rsidRDefault="006A6EE4" w:rsidP="006A6EE4">
      <w:pPr>
        <w:numPr>
          <w:ilvl w:val="0"/>
          <w:numId w:val="1"/>
        </w:numPr>
      </w:pPr>
      <w:r w:rsidRPr="006A6EE4">
        <w:t xml:space="preserve">Caudal: </w:t>
      </w:r>
      <w:r w:rsidRPr="006A6EE4">
        <w:rPr>
          <w:b/>
          <w:bCs/>
        </w:rPr>
        <w:t>Cloacal membrane</w:t>
      </w:r>
      <w:r w:rsidRPr="006A6EE4">
        <w:t xml:space="preserve"> (ruptures → anal opening).</w:t>
      </w:r>
    </w:p>
    <w:p w14:paraId="7214C394" w14:textId="77777777" w:rsidR="006A6EE4" w:rsidRDefault="006A6EE4" w:rsidP="006A6EE4">
      <w:pPr>
        <w:pStyle w:val="Heading2"/>
      </w:pPr>
      <w:r w:rsidRPr="006A6EE4">
        <w:t>Germ Layer Contributions: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B1D84" w14:paraId="67209139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0F0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78A1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8058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Derivatives</w:t>
            </w:r>
          </w:p>
        </w:tc>
      </w:tr>
      <w:tr w:rsidR="006B1D84" w14:paraId="02EA633B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02F11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Epithelium &amp; Glands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A8693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Endoderm of primordial gut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9A8B7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Gut lining, liver, pancreas, biliary system</w:t>
            </w:r>
          </w:p>
        </w:tc>
      </w:tr>
      <w:tr w:rsidR="006B1D84" w14:paraId="27214DC3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D6D60" w14:textId="25A3BB6B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pithelium</w:t>
            </w: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of </w:t>
            </w: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Cranial end</w:t>
            </w: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of GIT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9FCC1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Ectoderm of stomodeum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252D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Oral cavity lining (to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oro</w:t>
            </w:r>
            <w:proofErr w:type="spell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-pharyngeal membrane)</w:t>
            </w:r>
          </w:p>
        </w:tc>
      </w:tr>
      <w:tr w:rsidR="006B1D84" w14:paraId="4CDCC741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1004A" w14:textId="127A502B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Epithelium of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Caudak</w:t>
            </w:r>
            <w:proofErr w:type="spell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end of GIT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4F78A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Ectoderm of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proctodeum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94F1C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Anal canal below pectinate line</w:t>
            </w:r>
          </w:p>
        </w:tc>
      </w:tr>
      <w:tr w:rsidR="006B1D84" w14:paraId="3462FFBD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4D98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Muscular wall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A3D34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Splanchnic mesoderm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AC4F6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Smooth muscle, connective tissue, serosa</w:t>
            </w:r>
          </w:p>
        </w:tc>
      </w:tr>
      <w:tr w:rsidR="006B1D84" w14:paraId="42FF2B13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9BE7D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Enteric nervous 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DB088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Neural crest cells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A1333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Myenteric &amp; submucosal plexuses</w:t>
            </w:r>
          </w:p>
        </w:tc>
      </w:tr>
    </w:tbl>
    <w:p w14:paraId="625C61F6" w14:textId="77777777" w:rsidR="006B1D84" w:rsidRDefault="006B1D84" w:rsidP="006B1D84"/>
    <w:p w14:paraId="503359CE" w14:textId="77777777" w:rsidR="006B1D84" w:rsidRDefault="006B1D84" w:rsidP="006B1D84">
      <w:pPr>
        <w:rPr>
          <w:rFonts w:ascii="Arial" w:eastAsia="Arial" w:hAnsi="Arial" w:cs="Arial"/>
          <w:color w:val="424242"/>
          <w:sz w:val="21"/>
          <w:szCs w:val="21"/>
        </w:rPr>
      </w:pPr>
      <w:r>
        <w:t>[TIP]</w:t>
      </w:r>
      <w:r w:rsidRPr="006B1D84">
        <w:rPr>
          <w:rFonts w:ascii="Arial" w:eastAsia="Arial" w:hAnsi="Arial" w:cs="Arial"/>
          <w:color w:val="424242"/>
          <w:sz w:val="21"/>
          <w:szCs w:val="21"/>
        </w:rPr>
        <w:t xml:space="preserve"> </w:t>
      </w:r>
      <w:r>
        <w:rPr>
          <w:rFonts w:ascii="Arial" w:eastAsia="Arial" w:hAnsi="Arial" w:cs="Arial"/>
          <w:color w:val="424242"/>
          <w:sz w:val="21"/>
          <w:szCs w:val="21"/>
        </w:rPr>
        <w:t>The enteric nervous system (ENS)</w:t>
      </w:r>
      <w:r>
        <w:rPr>
          <w:rFonts w:ascii="Arial" w:eastAsia="Arial" w:hAnsi="Arial" w:cs="Arial"/>
          <w:color w:val="424242"/>
          <w:sz w:val="21"/>
          <w:szCs w:val="21"/>
        </w:rPr>
        <w:t>,</w:t>
      </w:r>
      <w:r>
        <w:rPr>
          <w:rFonts w:ascii="Arial" w:eastAsia="Arial" w:hAnsi="Arial" w:cs="Arial"/>
          <w:color w:val="424242"/>
          <w:sz w:val="21"/>
          <w:szCs w:val="21"/>
        </w:rPr>
        <w:t xml:space="preserve"> sometimes called the 'second brain'</w:t>
      </w:r>
      <w:r>
        <w:rPr>
          <w:rFonts w:ascii="Arial" w:eastAsia="Arial" w:hAnsi="Arial" w:cs="Arial"/>
          <w:color w:val="424242"/>
          <w:sz w:val="21"/>
          <w:szCs w:val="21"/>
        </w:rPr>
        <w:t xml:space="preserve">, </w:t>
      </w:r>
      <w:r>
        <w:rPr>
          <w:rFonts w:ascii="Arial" w:eastAsia="Arial" w:hAnsi="Arial" w:cs="Arial"/>
          <w:color w:val="424242"/>
          <w:sz w:val="21"/>
          <w:szCs w:val="21"/>
        </w:rPr>
        <w:t xml:space="preserve">is entirely derived from vagal and sacral neural crest cells. </w:t>
      </w:r>
    </w:p>
    <w:p w14:paraId="0D8D99C7" w14:textId="6DDA8ABF" w:rsidR="006B1D84" w:rsidRPr="006B1D84" w:rsidRDefault="006B1D84" w:rsidP="006B1D84">
      <w:r>
        <w:rPr>
          <w:rFonts w:ascii="Arial" w:eastAsia="Arial" w:hAnsi="Arial" w:cs="Arial"/>
          <w:color w:val="424242"/>
          <w:sz w:val="21"/>
          <w:szCs w:val="21"/>
        </w:rPr>
        <w:t>[CLINICAL]</w:t>
      </w:r>
      <w:r>
        <w:rPr>
          <w:rFonts w:ascii="Arial" w:eastAsia="Arial" w:hAnsi="Arial" w:cs="Arial"/>
          <w:color w:val="424242"/>
          <w:sz w:val="21"/>
          <w:szCs w:val="21"/>
        </w:rPr>
        <w:t xml:space="preserve">ENS development requires RET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signaling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 xml:space="preserve"> (via GDNF) and EDNRB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signaling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 xml:space="preserve"> (via endothelin-3). Failure of these pathways underlies Hirschsprung disease.</w:t>
      </w:r>
    </w:p>
    <w:p w14:paraId="6186D8DD" w14:textId="77777777" w:rsidR="006A6EE4" w:rsidRPr="006A6EE4" w:rsidRDefault="006A6EE4" w:rsidP="006A6EE4">
      <w:pPr>
        <w:pStyle w:val="Heading2"/>
      </w:pPr>
      <w:r w:rsidRPr="006A6EE4">
        <w:t>Derivatives &amp; Arterial Supply:</w:t>
      </w:r>
    </w:p>
    <w:p w14:paraId="0D3A8CE6" w14:textId="77777777" w:rsidR="006A6EE4" w:rsidRDefault="006A6EE4" w:rsidP="006A6EE4">
      <w:pPr>
        <w:numPr>
          <w:ilvl w:val="0"/>
          <w:numId w:val="1"/>
        </w:numPr>
      </w:pPr>
      <w:r w:rsidRPr="006A6EE4">
        <w:rPr>
          <w:b/>
          <w:bCs/>
        </w:rPr>
        <w:t>Foregut</w:t>
      </w:r>
      <w:r w:rsidRPr="006A6EE4">
        <w:t xml:space="preserve"> (celiac trunk):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6B1D84" w14:paraId="41569F89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5C8D7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Derivative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6ADCE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Key Notes</w:t>
            </w:r>
          </w:p>
        </w:tc>
      </w:tr>
      <w:tr w:rsidR="006B1D84" w14:paraId="4E6A317E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333398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t>Primordial pharynx &amp; derivatives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4F2C7A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Tonsils, pharyngeal pouches, thyroid, parathyroids, thymus</w:t>
            </w:r>
          </w:p>
        </w:tc>
      </w:tr>
      <w:tr w:rsidR="006B1D84" w14:paraId="6083AEB7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F97B33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t>Lower respiratory system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F837DC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Larynx, trachea, bronchi, lungs (from laryngotracheal groove)</w:t>
            </w:r>
          </w:p>
        </w:tc>
      </w:tr>
      <w:tr w:rsidR="006B1D84" w14:paraId="6EE7F219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D27A5F" w14:textId="77777777" w:rsidR="006B1D84" w:rsidRDefault="006B1D84" w:rsidP="006B1D8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t>Esophagus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AD6AD3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Initially short; elongates with descent of heart &amp; lungs</w:t>
            </w:r>
          </w:p>
        </w:tc>
      </w:tr>
      <w:tr w:rsidR="006B1D84" w14:paraId="28E43918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3F93EE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t>Stomach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1AEC33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Rotates 90° clockwise → left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vagus</w:t>
            </w:r>
            <w:proofErr w:type="spell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= anterior; dorsal mesogastrium → greater omentum</w:t>
            </w:r>
          </w:p>
        </w:tc>
      </w:tr>
      <w:tr w:rsidR="006B1D84" w14:paraId="3BA47BFD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66F1C05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lastRenderedPageBreak/>
              <w:t>Duodenum (proximal to bile duct)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92BE8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Derived from terminal foregut + proximal midgut; temporarily occluded (solid cord stage)</w:t>
            </w:r>
          </w:p>
        </w:tc>
      </w:tr>
      <w:tr w:rsidR="006B1D84" w14:paraId="1644C2B1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0357A3E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t>Liver &amp; biliary apparatus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9F747E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Hepatic diverticulum from ventral foregut endoderm at ~4th week</w:t>
            </w:r>
          </w:p>
        </w:tc>
      </w:tr>
      <w:tr w:rsidR="006B1D84" w14:paraId="458E5366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EDCDA0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565C0"/>
                <w:sz w:val="21"/>
                <w:szCs w:val="21"/>
              </w:rPr>
              <w:t>Pancreas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F65E5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Ventral + dorsal buds; rotate and fuse at ~7th week</w:t>
            </w:r>
          </w:p>
        </w:tc>
      </w:tr>
    </w:tbl>
    <w:p w14:paraId="13230EC5" w14:textId="77777777" w:rsidR="006B1D84" w:rsidRDefault="006B1D84" w:rsidP="006B1D84">
      <w:pPr>
        <w:spacing w:after="80"/>
        <w:rPr>
          <w:rFonts w:ascii="Arial" w:eastAsia="Arial" w:hAnsi="Arial" w:cs="Arial"/>
          <w:b/>
          <w:bCs/>
          <w:color w:val="4A148C"/>
          <w:sz w:val="22"/>
          <w:szCs w:val="22"/>
        </w:rPr>
      </w:pPr>
    </w:p>
    <w:p w14:paraId="1C57B832" w14:textId="3ECA26DD" w:rsidR="006B1D84" w:rsidRDefault="006B1D84" w:rsidP="006B1D84">
      <w:pPr>
        <w:spacing w:after="80"/>
      </w:pPr>
      <w:r>
        <w:rPr>
          <w:rFonts w:ascii="Arial" w:eastAsia="Arial" w:hAnsi="Arial" w:cs="Arial"/>
          <w:b/>
          <w:bCs/>
          <w:color w:val="4A148C"/>
          <w:sz w:val="22"/>
          <w:szCs w:val="22"/>
        </w:rPr>
        <w:t>[CLINICAL]</w:t>
      </w:r>
      <w:r>
        <w:rPr>
          <w:rFonts w:ascii="Arial" w:eastAsia="Arial" w:hAnsi="Arial" w:cs="Arial"/>
          <w:b/>
          <w:bCs/>
          <w:color w:val="4A148C"/>
          <w:sz w:val="22"/>
          <w:szCs w:val="22"/>
        </w:rPr>
        <w:t>Molecular Basis — Foregut Patterning</w:t>
      </w:r>
    </w:p>
    <w:p w14:paraId="6C420EA8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SOX2 </w:t>
      </w:r>
      <w:proofErr w:type="gramStart"/>
      <w:r>
        <w:rPr>
          <w:rFonts w:ascii="Arial" w:eastAsia="Arial" w:hAnsi="Arial" w:cs="Arial"/>
          <w:color w:val="424242"/>
          <w:sz w:val="21"/>
          <w:szCs w:val="21"/>
        </w:rPr>
        <w:t>expression:</w:t>
      </w:r>
      <w:proofErr w:type="gramEnd"/>
      <w:r>
        <w:rPr>
          <w:rFonts w:ascii="Arial" w:eastAsia="Arial" w:hAnsi="Arial" w:cs="Arial"/>
          <w:color w:val="424242"/>
          <w:sz w:val="21"/>
          <w:szCs w:val="21"/>
        </w:rPr>
        <w:t xml:space="preserve"> specifies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esophageal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>/respiratory fate in cranial foregut</w:t>
      </w:r>
    </w:p>
    <w:p w14:paraId="3D394196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NKX2.1 (TTF-1): master regulator of lung and thyroid from foregut endoderm</w:t>
      </w:r>
    </w:p>
    <w:p w14:paraId="317D3542" w14:textId="77777777" w:rsidR="006B1D84" w:rsidRDefault="006B1D84" w:rsidP="006B1D84">
      <w:pPr>
        <w:spacing w:before="30" w:after="30"/>
        <w:rPr>
          <w:rFonts w:ascii="Arial" w:eastAsia="Arial" w:hAnsi="Arial" w:cs="Arial"/>
          <w:color w:val="424242"/>
          <w:sz w:val="21"/>
          <w:szCs w:val="21"/>
        </w:rPr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PDX1 (IPF1): essential transcription factor for pancreatic </w:t>
      </w:r>
      <w:proofErr w:type="gramStart"/>
      <w:r>
        <w:rPr>
          <w:rFonts w:ascii="Arial" w:eastAsia="Arial" w:hAnsi="Arial" w:cs="Arial"/>
          <w:color w:val="424242"/>
          <w:sz w:val="21"/>
          <w:szCs w:val="21"/>
        </w:rPr>
        <w:t>development;</w:t>
      </w:r>
      <w:proofErr w:type="gramEnd"/>
      <w:r>
        <w:rPr>
          <w:rFonts w:ascii="Arial" w:eastAsia="Arial" w:hAnsi="Arial" w:cs="Arial"/>
          <w:color w:val="424242"/>
          <w:sz w:val="21"/>
          <w:szCs w:val="21"/>
        </w:rPr>
        <w:t xml:space="preserve"> </w:t>
      </w:r>
    </w:p>
    <w:p w14:paraId="5895E963" w14:textId="6C41C05A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PDX1 mutations → pancreatic agenesis or MODY4</w:t>
      </w:r>
    </w:p>
    <w:p w14:paraId="0A276943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HNF4α and FOXA2: liver specification from foregut endoderm</w:t>
      </w:r>
    </w:p>
    <w:p w14:paraId="24FDF134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Notch </w:t>
      </w:r>
      <w:proofErr w:type="spellStart"/>
      <w:proofErr w:type="gramStart"/>
      <w:r>
        <w:rPr>
          <w:rFonts w:ascii="Arial" w:eastAsia="Arial" w:hAnsi="Arial" w:cs="Arial"/>
          <w:color w:val="424242"/>
          <w:sz w:val="21"/>
          <w:szCs w:val="21"/>
        </w:rPr>
        <w:t>signaling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>:</w:t>
      </w:r>
      <w:proofErr w:type="gramEnd"/>
      <w:r>
        <w:rPr>
          <w:rFonts w:ascii="Arial" w:eastAsia="Arial" w:hAnsi="Arial" w:cs="Arial"/>
          <w:color w:val="424242"/>
          <w:sz w:val="21"/>
          <w:szCs w:val="21"/>
        </w:rPr>
        <w:t xml:space="preserve"> controls hepatocyte vs. biliary fate decision</w:t>
      </w:r>
    </w:p>
    <w:p w14:paraId="3D1B24C4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FGF from cardiac mesoderm + BMP4 from septum transversum → hepatic specification</w:t>
      </w:r>
    </w:p>
    <w:p w14:paraId="268A226F" w14:textId="555E5AFA" w:rsidR="006B1D84" w:rsidRPr="006A6EE4" w:rsidRDefault="006B1D84" w:rsidP="006B1D84">
      <w:r>
        <w:rPr>
          <w:rFonts w:ascii="Arial" w:eastAsia="Arial" w:hAnsi="Arial" w:cs="Arial"/>
          <w:color w:val="424242"/>
          <w:sz w:val="21"/>
          <w:szCs w:val="21"/>
        </w:rPr>
        <w:t xml:space="preserve">• RA (retinoic acid) </w:t>
      </w:r>
      <w:proofErr w:type="gramStart"/>
      <w:r>
        <w:rPr>
          <w:rFonts w:ascii="Arial" w:eastAsia="Arial" w:hAnsi="Arial" w:cs="Arial"/>
          <w:color w:val="424242"/>
          <w:sz w:val="21"/>
          <w:szCs w:val="21"/>
        </w:rPr>
        <w:t>gradient:</w:t>
      </w:r>
      <w:proofErr w:type="gramEnd"/>
      <w:r>
        <w:rPr>
          <w:rFonts w:ascii="Arial" w:eastAsia="Arial" w:hAnsi="Arial" w:cs="Arial"/>
          <w:color w:val="424242"/>
          <w:sz w:val="21"/>
          <w:szCs w:val="21"/>
        </w:rPr>
        <w:t xml:space="preserve"> regulates foregut-midgut boundary positioning</w:t>
      </w:r>
    </w:p>
    <w:p w14:paraId="75F19EB3" w14:textId="77777777" w:rsidR="006A6EE4" w:rsidRPr="006A6EE4" w:rsidRDefault="006A6EE4" w:rsidP="006A6EE4">
      <w:pPr>
        <w:numPr>
          <w:ilvl w:val="0"/>
          <w:numId w:val="1"/>
        </w:numPr>
      </w:pPr>
      <w:r w:rsidRPr="006A6EE4">
        <w:rPr>
          <w:b/>
          <w:bCs/>
        </w:rPr>
        <w:t>Midgut</w:t>
      </w:r>
      <w:r w:rsidRPr="006A6EE4">
        <w:t xml:space="preserve"> (superior mesenteric artery):</w:t>
      </w:r>
    </w:p>
    <w:p w14:paraId="516236D5" w14:textId="77777777" w:rsidR="006A6EE4" w:rsidRPr="006A6EE4" w:rsidRDefault="006A6EE4" w:rsidP="006A6EE4">
      <w:pPr>
        <w:numPr>
          <w:ilvl w:val="1"/>
          <w:numId w:val="1"/>
        </w:numPr>
      </w:pPr>
      <w:r w:rsidRPr="006A6EE4">
        <w:t>Duodenum distal to major duodenal papilla (lower D2, D3, D4).</w:t>
      </w:r>
    </w:p>
    <w:p w14:paraId="3FDE6252" w14:textId="77777777" w:rsidR="006A6EE4" w:rsidRPr="006A6EE4" w:rsidRDefault="006A6EE4" w:rsidP="006A6EE4">
      <w:pPr>
        <w:numPr>
          <w:ilvl w:val="1"/>
          <w:numId w:val="1"/>
        </w:numPr>
      </w:pPr>
      <w:r w:rsidRPr="006A6EE4">
        <w:t>Jejunum, ileum.</w:t>
      </w:r>
    </w:p>
    <w:p w14:paraId="516EAE91" w14:textId="77777777" w:rsidR="006A6EE4" w:rsidRDefault="006A6EE4" w:rsidP="006A6EE4">
      <w:pPr>
        <w:numPr>
          <w:ilvl w:val="1"/>
          <w:numId w:val="1"/>
        </w:numPr>
      </w:pPr>
      <w:r w:rsidRPr="006A6EE4">
        <w:t>Cecum, appendix, ascending colon, proximal 2/3 transverse colon.</w:t>
      </w:r>
    </w:p>
    <w:p w14:paraId="52D74946" w14:textId="34267025" w:rsidR="006B1D84" w:rsidRDefault="006B1D84" w:rsidP="006B1D84">
      <w:pPr>
        <w:spacing w:after="80"/>
      </w:pPr>
      <w:r>
        <w:t>[CLINICAL]</w:t>
      </w:r>
      <w:r w:rsidRPr="006B1D84">
        <w:rPr>
          <w:rFonts w:ascii="Arial" w:eastAsia="Arial" w:hAnsi="Arial" w:cs="Arial"/>
          <w:b/>
          <w:bCs/>
          <w:color w:val="4A148C"/>
          <w:sz w:val="22"/>
          <w:szCs w:val="22"/>
        </w:rPr>
        <w:t xml:space="preserve"> </w:t>
      </w:r>
      <w:r>
        <w:rPr>
          <w:rFonts w:ascii="Segoe UI Emoji" w:eastAsia="Arial" w:hAnsi="Segoe UI Emoji" w:cs="Segoe UI Emoji"/>
          <w:b/>
          <w:bCs/>
          <w:color w:val="4A148C"/>
          <w:sz w:val="22"/>
          <w:szCs w:val="22"/>
        </w:rPr>
        <w:t>🧬</w:t>
      </w:r>
      <w:r>
        <w:rPr>
          <w:rFonts w:ascii="Arial" w:eastAsia="Arial" w:hAnsi="Arial" w:cs="Arial"/>
          <w:b/>
          <w:bCs/>
          <w:color w:val="4A148C"/>
          <w:sz w:val="22"/>
          <w:szCs w:val="22"/>
        </w:rPr>
        <w:t xml:space="preserve"> Molecular Basis — Midgut</w:t>
      </w:r>
    </w:p>
    <w:p w14:paraId="2822E689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CDX2: master regulator of intestinal identity; expressed throughout midgut &amp; hindgut endoderm</w:t>
      </w:r>
    </w:p>
    <w:p w14:paraId="5DF2E305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Wnt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>/β-catenin pathway: essential for gut elongation and intestinal crypt-villus axis formation</w:t>
      </w:r>
    </w:p>
    <w:p w14:paraId="49FC1B12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FOXA1/2, GATA4/5/6: regulate intestinal differentiation</w:t>
      </w:r>
    </w:p>
    <w:p w14:paraId="67A75CBA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Midgut rotation driven by asymmetric expression of LEFTY2 and NODAL on the left side (left-right axis)</w:t>
      </w:r>
    </w:p>
    <w:p w14:paraId="1A9D2796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SHH (Sonic Hedgehog) from endoderm → mesoderm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signaling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 xml:space="preserve"> for smooth muscle and connective tissue development</w:t>
      </w:r>
    </w:p>
    <w:p w14:paraId="56633A2C" w14:textId="1A045B12" w:rsidR="006B1D84" w:rsidRPr="006A6EE4" w:rsidRDefault="006B1D84" w:rsidP="006B1D84">
      <w:r>
        <w:rPr>
          <w:rFonts w:ascii="Arial" w:eastAsia="Arial" w:hAnsi="Arial" w:cs="Arial"/>
          <w:color w:val="424242"/>
          <w:sz w:val="21"/>
          <w:szCs w:val="21"/>
        </w:rPr>
        <w:t>• Physiological herniation is normal — failure to return = exomphalos (omphalocele)</w:t>
      </w:r>
    </w:p>
    <w:p w14:paraId="1E2BD528" w14:textId="77777777" w:rsidR="006A6EE4" w:rsidRPr="006A6EE4" w:rsidRDefault="006A6EE4" w:rsidP="006A6EE4">
      <w:pPr>
        <w:numPr>
          <w:ilvl w:val="0"/>
          <w:numId w:val="1"/>
        </w:numPr>
      </w:pPr>
      <w:r w:rsidRPr="006A6EE4">
        <w:rPr>
          <w:b/>
          <w:bCs/>
        </w:rPr>
        <w:t>Hindgut</w:t>
      </w:r>
      <w:r w:rsidRPr="006A6EE4">
        <w:t xml:space="preserve"> (inferior mesenteric artery):</w:t>
      </w:r>
    </w:p>
    <w:p w14:paraId="129D2944" w14:textId="77777777" w:rsidR="006A6EE4" w:rsidRPr="006A6EE4" w:rsidRDefault="006A6EE4" w:rsidP="006A6EE4">
      <w:pPr>
        <w:numPr>
          <w:ilvl w:val="1"/>
          <w:numId w:val="1"/>
        </w:numPr>
      </w:pPr>
      <w:r w:rsidRPr="006A6EE4">
        <w:t>Distal 1/3 transverse colon.</w:t>
      </w:r>
    </w:p>
    <w:p w14:paraId="3244BEFD" w14:textId="77777777" w:rsidR="006A6EE4" w:rsidRPr="006A6EE4" w:rsidRDefault="006A6EE4" w:rsidP="006A6EE4">
      <w:pPr>
        <w:numPr>
          <w:ilvl w:val="1"/>
          <w:numId w:val="1"/>
        </w:numPr>
      </w:pPr>
      <w:r w:rsidRPr="006A6EE4">
        <w:t>Descending colon, sigmoid colon, rectum.</w:t>
      </w:r>
    </w:p>
    <w:p w14:paraId="125FCCF9" w14:textId="51AE0F57" w:rsidR="006A6EE4" w:rsidRPr="006A6EE4" w:rsidRDefault="006A6EE4" w:rsidP="006A6EE4">
      <w:pPr>
        <w:numPr>
          <w:ilvl w:val="1"/>
          <w:numId w:val="1"/>
        </w:numPr>
      </w:pPr>
      <w:r w:rsidRPr="006A6EE4">
        <w:t>/3 anal canal (to dentate line).</w:t>
      </w:r>
    </w:p>
    <w:p w14:paraId="7D80DCBF" w14:textId="7D70A4B8" w:rsidR="006B1D84" w:rsidRDefault="006B1D84" w:rsidP="006B1D84">
      <w:pPr>
        <w:spacing w:after="80"/>
      </w:pPr>
      <w:r>
        <w:t>[CLINICAL]</w:t>
      </w:r>
      <w:r w:rsidRPr="006B1D84">
        <w:rPr>
          <w:rFonts w:ascii="Arial" w:eastAsia="Arial" w:hAnsi="Arial" w:cs="Arial"/>
          <w:b/>
          <w:bCs/>
          <w:color w:val="4A148C"/>
          <w:sz w:val="22"/>
          <w:szCs w:val="22"/>
        </w:rPr>
        <w:t xml:space="preserve"> </w:t>
      </w:r>
      <w:r>
        <w:rPr>
          <w:rFonts w:ascii="Segoe UI Emoji" w:eastAsia="Arial" w:hAnsi="Segoe UI Emoji" w:cs="Segoe UI Emoji"/>
          <w:b/>
          <w:bCs/>
          <w:color w:val="4A148C"/>
          <w:sz w:val="22"/>
          <w:szCs w:val="22"/>
        </w:rPr>
        <w:t>🧬</w:t>
      </w:r>
      <w:r>
        <w:rPr>
          <w:rFonts w:ascii="Arial" w:eastAsia="Arial" w:hAnsi="Arial" w:cs="Arial"/>
          <w:b/>
          <w:bCs/>
          <w:color w:val="4A148C"/>
          <w:sz w:val="22"/>
          <w:szCs w:val="22"/>
        </w:rPr>
        <w:t xml:space="preserve"> Molecular Basis — Hindgut &amp; Cloaca Division</w:t>
      </w:r>
    </w:p>
    <w:p w14:paraId="53A18A64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BMP4 and SHH from hindgut endoderm regulate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urorectal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 xml:space="preserve"> septum growth</w:t>
      </w:r>
    </w:p>
    <w:p w14:paraId="7746F3AB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HOXA13 and HOXD13: mutations cause hand-foot-genital syndrome and cloacal anomalies</w:t>
      </w:r>
    </w:p>
    <w:p w14:paraId="77FEE30D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 xml:space="preserve">• WNT5A: critical for </w:t>
      </w:r>
      <w:proofErr w:type="spellStart"/>
      <w:r>
        <w:rPr>
          <w:rFonts w:ascii="Arial" w:eastAsia="Arial" w:hAnsi="Arial" w:cs="Arial"/>
          <w:color w:val="424242"/>
          <w:sz w:val="21"/>
          <w:szCs w:val="21"/>
        </w:rPr>
        <w:t>urorectal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 xml:space="preserve"> septation; knockout mice develop persistent cloaca</w:t>
      </w:r>
    </w:p>
    <w:p w14:paraId="08595459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lastRenderedPageBreak/>
        <w:t xml:space="preserve">• FGF10/FGFR2 </w:t>
      </w:r>
      <w:proofErr w:type="spellStart"/>
      <w:proofErr w:type="gramStart"/>
      <w:r>
        <w:rPr>
          <w:rFonts w:ascii="Arial" w:eastAsia="Arial" w:hAnsi="Arial" w:cs="Arial"/>
          <w:color w:val="424242"/>
          <w:sz w:val="21"/>
          <w:szCs w:val="21"/>
        </w:rPr>
        <w:t>signaling</w:t>
      </w:r>
      <w:proofErr w:type="spellEnd"/>
      <w:r>
        <w:rPr>
          <w:rFonts w:ascii="Arial" w:eastAsia="Arial" w:hAnsi="Arial" w:cs="Arial"/>
          <w:color w:val="424242"/>
          <w:sz w:val="21"/>
          <w:szCs w:val="21"/>
        </w:rPr>
        <w:t>:</w:t>
      </w:r>
      <w:proofErr w:type="gramEnd"/>
      <w:r>
        <w:rPr>
          <w:rFonts w:ascii="Arial" w:eastAsia="Arial" w:hAnsi="Arial" w:cs="Arial"/>
          <w:color w:val="424242"/>
          <w:sz w:val="21"/>
          <w:szCs w:val="21"/>
        </w:rPr>
        <w:t xml:space="preserve"> controls cloacal membrane integrity</w:t>
      </w:r>
    </w:p>
    <w:p w14:paraId="6605A017" w14:textId="77777777" w:rsidR="006B1D84" w:rsidRDefault="006B1D84" w:rsidP="006B1D84">
      <w:pPr>
        <w:spacing w:before="30" w:after="30"/>
      </w:pPr>
      <w:r>
        <w:rPr>
          <w:rFonts w:ascii="Arial" w:eastAsia="Arial" w:hAnsi="Arial" w:cs="Arial"/>
          <w:color w:val="424242"/>
          <w:sz w:val="21"/>
          <w:szCs w:val="21"/>
        </w:rPr>
        <w:t>• RET/GDNF axis: neural crest migration; mutations → Hirschsprung (can affect sigmoid/rectum)</w:t>
      </w:r>
    </w:p>
    <w:p w14:paraId="560147AA" w14:textId="00DB7052" w:rsidR="00D674B7" w:rsidRDefault="006B1D84" w:rsidP="006B1D84">
      <w:pPr>
        <w:rPr>
          <w:rFonts w:ascii="Arial" w:eastAsia="Arial" w:hAnsi="Arial" w:cs="Arial"/>
          <w:color w:val="424242"/>
          <w:sz w:val="21"/>
          <w:szCs w:val="21"/>
        </w:rPr>
      </w:pPr>
      <w:r>
        <w:rPr>
          <w:rFonts w:ascii="Arial" w:eastAsia="Arial" w:hAnsi="Arial" w:cs="Arial"/>
          <w:color w:val="424242"/>
          <w:sz w:val="21"/>
          <w:szCs w:val="21"/>
        </w:rPr>
        <w:t>• SHH → Gli2/Gli3 in mesoderm → patterns anorectal region</w:t>
      </w:r>
    </w:p>
    <w:p w14:paraId="509227E2" w14:textId="564C3425" w:rsidR="006B1D84" w:rsidRDefault="006B1D84" w:rsidP="006B1D84">
      <w:pPr>
        <w:pStyle w:val="Heading2"/>
        <w:rPr>
          <w:rFonts w:eastAsia="Arial"/>
        </w:rPr>
      </w:pPr>
      <w:r w:rsidRPr="006B1D84">
        <w:rPr>
          <w:rFonts w:eastAsia="Arial"/>
        </w:rPr>
        <w:t xml:space="preserve">Arterial Supply </w:t>
      </w:r>
      <w:r>
        <w:rPr>
          <w:rFonts w:eastAsia="Arial"/>
        </w:rPr>
        <w:t>-</w:t>
      </w:r>
      <w:r w:rsidRPr="006B1D84">
        <w:rPr>
          <w:rFonts w:eastAsia="Arial"/>
        </w:rPr>
        <w:t xml:space="preserve">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2825"/>
        <w:gridCol w:w="4703"/>
      </w:tblGrid>
      <w:tr w:rsidR="006B1D84" w14:paraId="6DBEE745" w14:textId="77777777" w:rsidTr="006B1D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326F" w14:textId="77777777" w:rsidR="006B1D84" w:rsidRDefault="006B1D84" w:rsidP="00F310F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Gut Segment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B992" w14:textId="77777777" w:rsidR="006B1D84" w:rsidRDefault="006B1D84" w:rsidP="00F310F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Artery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E995" w14:textId="77777777" w:rsidR="006B1D84" w:rsidRDefault="006B1D84" w:rsidP="00F310F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Clinical Relevance</w:t>
            </w:r>
          </w:p>
        </w:tc>
      </w:tr>
      <w:tr w:rsidR="006B1D84" w14:paraId="14235A77" w14:textId="77777777" w:rsidTr="006B1D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B42DE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Foregut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121C7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Celiac trunk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9B50B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Celiac artery compression syndrome; gastric ischemia</w:t>
            </w:r>
          </w:p>
        </w:tc>
      </w:tr>
      <w:tr w:rsidR="006B1D84" w14:paraId="341E5FCF" w14:textId="77777777" w:rsidTr="006B1D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23743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Midgut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EC961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Superior mesenteric artery (SMA)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03F05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SMA syndrome, midgut volvulus ischemia, SMA occlusion</w:t>
            </w:r>
          </w:p>
        </w:tc>
      </w:tr>
      <w:tr w:rsidR="006B1D84" w14:paraId="227BC6CB" w14:textId="77777777" w:rsidTr="006B1D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E5C7F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Hindgut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F34E0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Inferior mesenteric artery (IMA)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C4CD1" w14:textId="77777777" w:rsidR="006B1D84" w:rsidRDefault="006B1D84" w:rsidP="00F310F7"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IMA ligation during aortic aneurysm repair → ischemic colitis</w:t>
            </w:r>
          </w:p>
        </w:tc>
      </w:tr>
    </w:tbl>
    <w:p w14:paraId="2B805900" w14:textId="77777777" w:rsidR="006B1D84" w:rsidRDefault="006B1D84" w:rsidP="006B1D84"/>
    <w:p w14:paraId="7D4D71B2" w14:textId="7AE513F4" w:rsidR="006B1D84" w:rsidRDefault="006B1D84" w:rsidP="006B1D84">
      <w:pPr>
        <w:rPr>
          <w:rFonts w:ascii="Arial" w:eastAsia="Arial" w:hAnsi="Arial" w:cs="Arial"/>
          <w:color w:val="424242"/>
          <w:sz w:val="21"/>
          <w:szCs w:val="21"/>
        </w:rPr>
      </w:pPr>
      <w:r>
        <w:t>[WARNING]</w:t>
      </w:r>
      <w:r w:rsidRPr="006B1D84">
        <w:rPr>
          <w:rFonts w:ascii="Arial" w:eastAsia="Arial" w:hAnsi="Arial" w:cs="Arial"/>
          <w:color w:val="424242"/>
          <w:sz w:val="21"/>
          <w:szCs w:val="21"/>
        </w:rPr>
        <w:t xml:space="preserve"> </w:t>
      </w:r>
      <w:r>
        <w:rPr>
          <w:rFonts w:ascii="Arial" w:eastAsia="Arial" w:hAnsi="Arial" w:cs="Arial"/>
          <w:color w:val="424242"/>
          <w:sz w:val="21"/>
          <w:szCs w:val="21"/>
        </w:rPr>
        <w:t>The arterial supply reflects the embryological segmentation. This is clinically important: 'watershed zones' at foregut-midgut junction (splenic flexure) and midgut-hindgut junction are vulnerable to ischemia during hypotension or after aortic surgery</w:t>
      </w:r>
    </w:p>
    <w:p w14:paraId="2B84544F" w14:textId="79B2226D" w:rsidR="006B1D84" w:rsidRDefault="006B1D84" w:rsidP="006B1D84">
      <w:pPr>
        <w:pStyle w:val="Heading2"/>
        <w:rPr>
          <w:rFonts w:eastAsia="Arial"/>
        </w:rPr>
      </w:pPr>
      <w:r>
        <w:rPr>
          <w:rFonts w:eastAsia="Arial"/>
        </w:rPr>
        <w:t>High-Yield Quick Revision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1D84" w14:paraId="60C7A657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79EBB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Key Fact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1257A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Remember</w:t>
            </w:r>
          </w:p>
        </w:tc>
      </w:tr>
      <w:tr w:rsidR="006B1D84" w14:paraId="28265750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453C75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Oropharyngeal membrane rupture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2D4114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~24–26 days; ectoderm meets endoderm</w:t>
            </w:r>
          </w:p>
        </w:tc>
      </w:tr>
      <w:tr w:rsidR="006B1D84" w14:paraId="7BEEDECA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F050A2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Cloacal membrane rupture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523602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~7–8 weeks; divides after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urorectal</w:t>
            </w:r>
            <w:proofErr w:type="spell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septum formation</w:t>
            </w:r>
          </w:p>
        </w:tc>
      </w:tr>
      <w:tr w:rsidR="006B1D84" w14:paraId="1D410167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E5D316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Physiological umbilical herniation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DFB575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6th–10th week; normal — not omphalocele</w:t>
            </w:r>
          </w:p>
        </w:tc>
      </w:tr>
      <w:tr w:rsidR="006B1D84" w14:paraId="378DC077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DF933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Duodenal atresia cause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1FE47F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Failed recanalization (NOT failure of return)</w:t>
            </w:r>
          </w:p>
        </w:tc>
      </w:tr>
      <w:tr w:rsidR="006B1D84" w14:paraId="24E6F5DF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1D7763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Meckel's diverticulum rule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79E8DC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Rule of 2s (2%, 2ft, 2in, 2 tissues, 2 years)</w:t>
            </w:r>
          </w:p>
        </w:tc>
      </w:tr>
      <w:tr w:rsidR="006B1D84" w14:paraId="4EC00348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733D75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Hirschsprung's gene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F099C5B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RET proto-oncogene mutation (also EDNRB)</w:t>
            </w:r>
          </w:p>
        </w:tc>
      </w:tr>
      <w:tr w:rsidR="006B1D84" w14:paraId="05CE724F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4AD226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Pancreas development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6CD259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Ventral + dorsal </w:t>
            </w:r>
            <w:proofErr w:type="gram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buds</w:t>
            </w:r>
            <w:proofErr w:type="gram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fuse — ventral rotates posteriorly</w:t>
            </w:r>
          </w:p>
        </w:tc>
      </w:tr>
      <w:tr w:rsidR="006B1D84" w14:paraId="2A9F192C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03E93C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Stomach rotation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D1786E7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90° clockwise; left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vagus</w:t>
            </w:r>
            <w:proofErr w:type="spell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→ anterior; right </w:t>
            </w:r>
            <w:proofErr w:type="spellStart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vagus</w:t>
            </w:r>
            <w:proofErr w:type="spellEnd"/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 xml:space="preserve"> → posterior</w:t>
            </w:r>
          </w:p>
        </w:tc>
      </w:tr>
      <w:tr w:rsidR="006B1D84" w14:paraId="0D99E654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956AE0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Pectinate line significance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31EE90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Embryological junction: above = endoderm; below = ectoderm</w:t>
            </w:r>
          </w:p>
        </w:tc>
      </w:tr>
      <w:tr w:rsidR="006B1D84" w14:paraId="14373E3F" w14:textId="77777777" w:rsidTr="00F310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25DA16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24242"/>
                <w:sz w:val="21"/>
                <w:szCs w:val="21"/>
              </w:rPr>
              <w:t>CDX2 importance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2C7954" w14:textId="77777777" w:rsidR="006B1D84" w:rsidRDefault="006B1D84" w:rsidP="006B1D84">
            <w:pPr>
              <w:spacing w:after="0"/>
            </w:pPr>
            <w:r>
              <w:rPr>
                <w:rFonts w:ascii="Arial" w:eastAsia="Arial" w:hAnsi="Arial" w:cs="Arial"/>
                <w:color w:val="424242"/>
                <w:sz w:val="21"/>
                <w:szCs w:val="21"/>
              </w:rPr>
              <w:t>Master regulator of intestinal identity — also a colorectal cancer marker</w:t>
            </w:r>
          </w:p>
        </w:tc>
      </w:tr>
    </w:tbl>
    <w:p w14:paraId="63570DE2" w14:textId="77777777" w:rsidR="006B1D84" w:rsidRDefault="006B1D84" w:rsidP="006B1D84"/>
    <w:sectPr w:rsidR="006B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40990"/>
    <w:multiLevelType w:val="multilevel"/>
    <w:tmpl w:val="358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1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E4"/>
    <w:rsid w:val="004C2BF6"/>
    <w:rsid w:val="005E08F3"/>
    <w:rsid w:val="006A6EE4"/>
    <w:rsid w:val="006B1D84"/>
    <w:rsid w:val="00820B84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1889"/>
  <w15:chartTrackingRefBased/>
  <w15:docId w15:val="{3ED463E6-DE91-4EED-855D-20FB015B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A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2026-03-11T17:13:00Z</dcterms:created>
  <dcterms:modified xsi:type="dcterms:W3CDTF">2026-03-11T17:24:00Z</dcterms:modified>
</cp:coreProperties>
</file>