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7C1C" w14:textId="6D58A8E5" w:rsidR="00193AE0" w:rsidRPr="00193AE0" w:rsidRDefault="00193AE0" w:rsidP="00193AE0">
      <w:pPr>
        <w:pStyle w:val="Heading1"/>
      </w:pPr>
      <w:r w:rsidRPr="00193AE0">
        <w:t>Development of the Stomach</w:t>
      </w:r>
    </w:p>
    <w:p w14:paraId="4DB46A8B" w14:textId="173FD51B" w:rsidR="00193AE0" w:rsidRPr="00193AE0" w:rsidRDefault="00193AE0" w:rsidP="00193AE0">
      <w:pPr>
        <w:pStyle w:val="Heading2"/>
      </w:pPr>
      <w:r w:rsidRPr="00193AE0">
        <w:t xml:space="preserve">Formation </w:t>
      </w:r>
      <w:r>
        <w:t>and i</w:t>
      </w:r>
      <w:r w:rsidRPr="00193AE0">
        <w:t xml:space="preserve">nitial </w:t>
      </w:r>
      <w:r>
        <w:t>p</w:t>
      </w:r>
      <w:r w:rsidRPr="00193AE0">
        <w:t>osition</w:t>
      </w:r>
    </w:p>
    <w:p w14:paraId="1D683C67" w14:textId="77777777" w:rsidR="00193AE0" w:rsidRDefault="00193AE0" w:rsidP="00193AE0">
      <w:r w:rsidRPr="00193AE0">
        <w:t xml:space="preserve">The stomach appears at </w:t>
      </w:r>
      <w:r w:rsidRPr="00193AE0">
        <w:rPr>
          <w:b/>
          <w:bCs/>
        </w:rPr>
        <w:t>week 4</w:t>
      </w:r>
      <w:r w:rsidRPr="00193AE0">
        <w:t xml:space="preserve"> as a fusiform dilation of the caudal foregut, initially oriented in the </w:t>
      </w:r>
      <w:r w:rsidRPr="00193AE0">
        <w:rPr>
          <w:b/>
          <w:bCs/>
        </w:rPr>
        <w:t>median plane</w:t>
      </w:r>
      <w:r w:rsidRPr="00193AE0">
        <w:t xml:space="preserve"> with its long axis craniocaudal.</w:t>
      </w:r>
    </w:p>
    <w:p w14:paraId="3926F67F" w14:textId="3DDEE1E1" w:rsidR="00193AE0" w:rsidRPr="00193AE0" w:rsidRDefault="00193AE0" w:rsidP="00193AE0">
      <w:r w:rsidRPr="00193AE0">
        <w:drawing>
          <wp:inline distT="0" distB="0" distL="0" distR="0" wp14:anchorId="2A8C3793" wp14:editId="4C105022">
            <wp:extent cx="5731510" cy="5151120"/>
            <wp:effectExtent l="0" t="0" r="2540" b="0"/>
            <wp:docPr id="140288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86280" name=""/>
                    <pic:cNvPicPr/>
                  </pic:nvPicPr>
                  <pic:blipFill>
                    <a:blip r:embed="rId5"/>
                    <a:stretch>
                      <a:fillRect/>
                    </a:stretch>
                  </pic:blipFill>
                  <pic:spPr>
                    <a:xfrm>
                      <a:off x="0" y="0"/>
                      <a:ext cx="5731510" cy="5151120"/>
                    </a:xfrm>
                    <a:prstGeom prst="rect">
                      <a:avLst/>
                    </a:prstGeom>
                  </pic:spPr>
                </pic:pic>
              </a:graphicData>
            </a:graphic>
          </wp:inline>
        </w:drawing>
      </w:r>
    </w:p>
    <w:p w14:paraId="70C496CB" w14:textId="4ECC7D85" w:rsidR="00193AE0" w:rsidRPr="00193AE0" w:rsidRDefault="00193AE0" w:rsidP="00193AE0">
      <w:pPr>
        <w:pStyle w:val="Heading2"/>
      </w:pPr>
      <w:r w:rsidRPr="00193AE0">
        <w:t xml:space="preserve">Rotation </w:t>
      </w:r>
      <w:r>
        <w:t>and</w:t>
      </w:r>
      <w:r w:rsidRPr="00193AE0">
        <w:t xml:space="preserve"> Repositioning</w:t>
      </w:r>
    </w:p>
    <w:p w14:paraId="40D9CDED" w14:textId="77777777" w:rsidR="00193AE0" w:rsidRPr="00193AE0" w:rsidRDefault="00193AE0" w:rsidP="00193AE0">
      <w:r w:rsidRPr="00193AE0">
        <w:rPr>
          <w:b/>
          <w:bCs/>
        </w:rPr>
        <w:t>Classical teaching (Moore/Sadler):</w:t>
      </w:r>
      <w:r w:rsidRPr="00193AE0">
        <w:t xml:space="preserve"> The stomach undergoes two rotations:</w:t>
      </w:r>
    </w:p>
    <w:p w14:paraId="7EBDD163" w14:textId="77777777" w:rsidR="00193AE0" w:rsidRPr="00193AE0" w:rsidRDefault="00193AE0" w:rsidP="00193AE0">
      <w:pPr>
        <w:numPr>
          <w:ilvl w:val="0"/>
          <w:numId w:val="1"/>
        </w:numPr>
      </w:pPr>
      <w:r w:rsidRPr="00193AE0">
        <w:rPr>
          <w:b/>
          <w:bCs/>
        </w:rPr>
        <w:t>Longitudinal (anteroposterior) axis rotation — 90° clockwise:</w:t>
      </w:r>
      <w:r w:rsidRPr="00193AE0">
        <w:t xml:space="preserve"> </w:t>
      </w:r>
    </w:p>
    <w:p w14:paraId="5316D06E" w14:textId="77777777" w:rsidR="00193AE0" w:rsidRPr="00193AE0" w:rsidRDefault="00193AE0" w:rsidP="00193AE0">
      <w:pPr>
        <w:numPr>
          <w:ilvl w:val="1"/>
          <w:numId w:val="1"/>
        </w:numPr>
      </w:pPr>
      <w:r w:rsidRPr="00193AE0">
        <w:t xml:space="preserve">The original </w:t>
      </w:r>
      <w:r w:rsidRPr="00193AE0">
        <w:rPr>
          <w:b/>
          <w:bCs/>
        </w:rPr>
        <w:t>dorsal border</w:t>
      </w:r>
      <w:r w:rsidRPr="00193AE0">
        <w:t xml:space="preserve"> grows faster → becomes the </w:t>
      </w:r>
      <w:r w:rsidRPr="00193AE0">
        <w:rPr>
          <w:b/>
          <w:bCs/>
        </w:rPr>
        <w:t>greater curvature</w:t>
      </w:r>
    </w:p>
    <w:p w14:paraId="2D46E367" w14:textId="77777777" w:rsidR="00193AE0" w:rsidRPr="00193AE0" w:rsidRDefault="00193AE0" w:rsidP="00193AE0">
      <w:pPr>
        <w:numPr>
          <w:ilvl w:val="1"/>
          <w:numId w:val="1"/>
        </w:numPr>
      </w:pPr>
      <w:r w:rsidRPr="00193AE0">
        <w:t xml:space="preserve">The original </w:t>
      </w:r>
      <w:r w:rsidRPr="00193AE0">
        <w:rPr>
          <w:b/>
          <w:bCs/>
        </w:rPr>
        <w:t>ventral border</w:t>
      </w:r>
      <w:r w:rsidRPr="00193AE0">
        <w:t xml:space="preserve"> grows slower → becomes the </w:t>
      </w:r>
      <w:r w:rsidRPr="00193AE0">
        <w:rPr>
          <w:b/>
          <w:bCs/>
        </w:rPr>
        <w:t>lesser curvature</w:t>
      </w:r>
    </w:p>
    <w:p w14:paraId="138EBF49" w14:textId="77777777" w:rsidR="00193AE0" w:rsidRPr="00193AE0" w:rsidRDefault="00193AE0" w:rsidP="00193AE0">
      <w:pPr>
        <w:numPr>
          <w:ilvl w:val="1"/>
          <w:numId w:val="1"/>
        </w:numPr>
      </w:pPr>
      <w:r w:rsidRPr="00193AE0">
        <w:t xml:space="preserve">Left </w:t>
      </w:r>
      <w:proofErr w:type="spellStart"/>
      <w:r w:rsidRPr="00193AE0">
        <w:t>vagus</w:t>
      </w:r>
      <w:proofErr w:type="spellEnd"/>
      <w:r w:rsidRPr="00193AE0">
        <w:t xml:space="preserve"> (originally posterior) → becomes </w:t>
      </w:r>
      <w:r w:rsidRPr="00193AE0">
        <w:rPr>
          <w:b/>
          <w:bCs/>
        </w:rPr>
        <w:t>anterior</w:t>
      </w:r>
      <w:r w:rsidRPr="00193AE0">
        <w:t xml:space="preserve"> on the lesser curvature</w:t>
      </w:r>
    </w:p>
    <w:p w14:paraId="664D1754" w14:textId="77777777" w:rsidR="00193AE0" w:rsidRPr="00193AE0" w:rsidRDefault="00193AE0" w:rsidP="00193AE0">
      <w:pPr>
        <w:numPr>
          <w:ilvl w:val="1"/>
          <w:numId w:val="1"/>
        </w:numPr>
      </w:pPr>
      <w:r w:rsidRPr="00193AE0">
        <w:lastRenderedPageBreak/>
        <w:t xml:space="preserve">Right </w:t>
      </w:r>
      <w:proofErr w:type="spellStart"/>
      <w:r w:rsidRPr="00193AE0">
        <w:t>vagus</w:t>
      </w:r>
      <w:proofErr w:type="spellEnd"/>
      <w:r w:rsidRPr="00193AE0">
        <w:t xml:space="preserve"> (originally anterior) → becomes </w:t>
      </w:r>
      <w:r w:rsidRPr="00193AE0">
        <w:rPr>
          <w:b/>
          <w:bCs/>
        </w:rPr>
        <w:t>posterior</w:t>
      </w:r>
    </w:p>
    <w:p w14:paraId="3684DA1E" w14:textId="77777777" w:rsidR="00193AE0" w:rsidRPr="00193AE0" w:rsidRDefault="00193AE0" w:rsidP="00193AE0">
      <w:pPr>
        <w:numPr>
          <w:ilvl w:val="0"/>
          <w:numId w:val="1"/>
        </w:numPr>
      </w:pPr>
      <w:r w:rsidRPr="00193AE0">
        <w:rPr>
          <w:b/>
          <w:bCs/>
        </w:rPr>
        <w:t>Craniocaudal axis tilt:</w:t>
      </w:r>
      <w:r w:rsidRPr="00193AE0">
        <w:t xml:space="preserve"> </w:t>
      </w:r>
    </w:p>
    <w:p w14:paraId="21B07A41" w14:textId="77777777" w:rsidR="00193AE0" w:rsidRPr="00193AE0" w:rsidRDefault="00193AE0" w:rsidP="00193AE0">
      <w:pPr>
        <w:numPr>
          <w:ilvl w:val="1"/>
          <w:numId w:val="1"/>
        </w:numPr>
      </w:pPr>
      <w:r w:rsidRPr="00193AE0">
        <w:t xml:space="preserve">Cardia/fundus shift </w:t>
      </w:r>
      <w:r w:rsidRPr="00193AE0">
        <w:rPr>
          <w:b/>
          <w:bCs/>
        </w:rPr>
        <w:t>left and downward</w:t>
      </w:r>
    </w:p>
    <w:p w14:paraId="0A4EE2CA" w14:textId="77777777" w:rsidR="00193AE0" w:rsidRPr="00193AE0" w:rsidRDefault="00193AE0" w:rsidP="00193AE0">
      <w:pPr>
        <w:numPr>
          <w:ilvl w:val="1"/>
          <w:numId w:val="1"/>
        </w:numPr>
      </w:pPr>
      <w:r w:rsidRPr="00193AE0">
        <w:t xml:space="preserve">Pylorus shifts </w:t>
      </w:r>
      <w:r w:rsidRPr="00193AE0">
        <w:rPr>
          <w:b/>
          <w:bCs/>
        </w:rPr>
        <w:t>right and upward</w:t>
      </w:r>
    </w:p>
    <w:p w14:paraId="0F5F0453" w14:textId="45673883" w:rsidR="00193AE0" w:rsidRDefault="00193AE0" w:rsidP="00193AE0">
      <w:r w:rsidRPr="00193AE0">
        <w:rPr>
          <w:b/>
          <w:bCs/>
        </w:rPr>
        <w:t>Contemporary view (O'Rahilly &amp; Müller):</w:t>
      </w:r>
      <w:r w:rsidRPr="00193AE0">
        <w:t xml:space="preserve"> Rather than true rotation, the apparent positional change may be explained entirely by </w:t>
      </w:r>
      <w:r w:rsidRPr="00193AE0">
        <w:rPr>
          <w:b/>
          <w:bCs/>
        </w:rPr>
        <w:t>differential growth</w:t>
      </w:r>
      <w:r w:rsidRPr="00193AE0">
        <w:t xml:space="preserve"> of the two curvatures — the greater curvature simply grows faster and expands more. There is no compelling histological or imaging evidence for actual axial rotation. This explains the observations just as well without invoking a rotational mechanism.</w:t>
      </w:r>
    </w:p>
    <w:p w14:paraId="0E8F0189" w14:textId="116B5989" w:rsidR="00193AE0" w:rsidRDefault="00193AE0" w:rsidP="00193AE0">
      <w:r w:rsidRPr="00193AE0">
        <w:drawing>
          <wp:inline distT="0" distB="0" distL="0" distR="0" wp14:anchorId="5E568C7F" wp14:editId="3958D907">
            <wp:extent cx="4676775" cy="1466850"/>
            <wp:effectExtent l="0" t="0" r="9525" b="0"/>
            <wp:docPr id="157017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3359" name=""/>
                    <pic:cNvPicPr/>
                  </pic:nvPicPr>
                  <pic:blipFill>
                    <a:blip r:embed="rId6"/>
                    <a:stretch>
                      <a:fillRect/>
                    </a:stretch>
                  </pic:blipFill>
                  <pic:spPr>
                    <a:xfrm>
                      <a:off x="0" y="0"/>
                      <a:ext cx="4676775" cy="1466850"/>
                    </a:xfrm>
                    <a:prstGeom prst="rect">
                      <a:avLst/>
                    </a:prstGeom>
                  </pic:spPr>
                </pic:pic>
              </a:graphicData>
            </a:graphic>
          </wp:inline>
        </w:drawing>
      </w:r>
    </w:p>
    <w:p w14:paraId="374B7539" w14:textId="44404044" w:rsidR="00193AE0" w:rsidRDefault="00193AE0" w:rsidP="00193AE0">
      <w:r w:rsidRPr="00193AE0">
        <w:t xml:space="preserve">Location of left hand at embryonic foregut (beginning of dilated stomach). (Modified from </w:t>
      </w:r>
      <w:proofErr w:type="spellStart"/>
      <w:r w:rsidRPr="00193AE0">
        <w:t>Skandalakis</w:t>
      </w:r>
      <w:proofErr w:type="spellEnd"/>
      <w:r w:rsidRPr="00193AE0">
        <w:t xml:space="preserve"> JE, Gray SW (eds). Embryology for Surgeons, 2nd Ed. Baltimore: Williams &amp; Wilkins, 1994</w:t>
      </w:r>
      <w:r>
        <w:t>)</w:t>
      </w:r>
    </w:p>
    <w:p w14:paraId="6402DE23" w14:textId="03D02507" w:rsidR="00193AE0" w:rsidRDefault="00193AE0" w:rsidP="00193AE0">
      <w:r w:rsidRPr="00193AE0">
        <w:drawing>
          <wp:inline distT="0" distB="0" distL="0" distR="0" wp14:anchorId="632923FB" wp14:editId="3C5634FE">
            <wp:extent cx="4810125" cy="3962400"/>
            <wp:effectExtent l="0" t="0" r="9525" b="0"/>
            <wp:docPr id="15945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91356" name=""/>
                    <pic:cNvPicPr/>
                  </pic:nvPicPr>
                  <pic:blipFill>
                    <a:blip r:embed="rId7"/>
                    <a:stretch>
                      <a:fillRect/>
                    </a:stretch>
                  </pic:blipFill>
                  <pic:spPr>
                    <a:xfrm>
                      <a:off x="0" y="0"/>
                      <a:ext cx="4810125" cy="3962400"/>
                    </a:xfrm>
                    <a:prstGeom prst="rect">
                      <a:avLst/>
                    </a:prstGeom>
                  </pic:spPr>
                </pic:pic>
              </a:graphicData>
            </a:graphic>
          </wp:inline>
        </w:drawing>
      </w:r>
    </w:p>
    <w:p w14:paraId="2543E166" w14:textId="53B56499" w:rsidR="00193AE0" w:rsidRDefault="00193AE0" w:rsidP="00193AE0">
      <w:r w:rsidRPr="00193AE0">
        <w:lastRenderedPageBreak/>
        <w:t xml:space="preserve">Use of left hand to demonstrate embryogenesis of stomach. Hypothenar and fifth finger touch the epigastrium vertically. If the same hand now turns so that the fifth finger and the hypothenar touch in a transverse way, the epigastrium and the palm in toto touch the epigastrium; then the fifth finger and hypothenar represent the greater curvature, and the thumb and index represent the lesser curvature. (Modified from </w:t>
      </w:r>
      <w:proofErr w:type="spellStart"/>
      <w:r w:rsidRPr="00193AE0">
        <w:t>Skandalakis</w:t>
      </w:r>
      <w:proofErr w:type="spellEnd"/>
      <w:r w:rsidRPr="00193AE0">
        <w:t xml:space="preserve"> JE, Gray SW (eds). Embryology for Surgeons, 2nd Ed. Baltimore: Williams &amp; Wilkins, 1994</w:t>
      </w:r>
      <w:r>
        <w:t>)</w:t>
      </w:r>
    </w:p>
    <w:p w14:paraId="09895185" w14:textId="77777777" w:rsidR="00193AE0" w:rsidRPr="00193AE0" w:rsidRDefault="00193AE0" w:rsidP="00193AE0"/>
    <w:p w14:paraId="4543B28F" w14:textId="76DC73CE" w:rsidR="00193AE0" w:rsidRPr="00193AE0" w:rsidRDefault="00193AE0" w:rsidP="00107680">
      <w:pPr>
        <w:pStyle w:val="Heading2"/>
      </w:pPr>
      <w:r w:rsidRPr="00193AE0">
        <w:t xml:space="preserve">Development of the </w:t>
      </w:r>
      <w:r>
        <w:t>c</w:t>
      </w:r>
      <w:r w:rsidRPr="00193AE0">
        <w:t>urvatures</w:t>
      </w:r>
    </w:p>
    <w:tbl>
      <w:tblPr>
        <w:tblStyle w:val="PlainTable1"/>
        <w:tblW w:w="0" w:type="auto"/>
        <w:tblLook w:val="04A0" w:firstRow="1" w:lastRow="0" w:firstColumn="1" w:lastColumn="0" w:noHBand="0" w:noVBand="1"/>
      </w:tblPr>
      <w:tblGrid>
        <w:gridCol w:w="2192"/>
        <w:gridCol w:w="2267"/>
        <w:gridCol w:w="2186"/>
      </w:tblGrid>
      <w:tr w:rsidR="00193AE0" w:rsidRPr="00193AE0" w14:paraId="3BAD925F" w14:textId="77777777" w:rsidTr="00193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602B9" w14:textId="77777777" w:rsidR="00193AE0" w:rsidRPr="00193AE0" w:rsidRDefault="00193AE0" w:rsidP="00193AE0">
            <w:pPr>
              <w:spacing w:after="160" w:line="278" w:lineRule="auto"/>
            </w:pPr>
            <w:r w:rsidRPr="00193AE0">
              <w:t>Feature</w:t>
            </w:r>
          </w:p>
        </w:tc>
        <w:tc>
          <w:tcPr>
            <w:tcW w:w="0" w:type="auto"/>
            <w:hideMark/>
          </w:tcPr>
          <w:p w14:paraId="3A4346D4" w14:textId="77777777" w:rsidR="00193AE0" w:rsidRPr="00193AE0" w:rsidRDefault="00193AE0" w:rsidP="00193AE0">
            <w:pPr>
              <w:spacing w:after="160" w:line="278" w:lineRule="auto"/>
              <w:cnfStyle w:val="100000000000" w:firstRow="1" w:lastRow="0" w:firstColumn="0" w:lastColumn="0" w:oddVBand="0" w:evenVBand="0" w:oddHBand="0" w:evenHBand="0" w:firstRowFirstColumn="0" w:firstRowLastColumn="0" w:lastRowFirstColumn="0" w:lastRowLastColumn="0"/>
            </w:pPr>
            <w:r w:rsidRPr="00193AE0">
              <w:t>Lesser Curvature</w:t>
            </w:r>
          </w:p>
        </w:tc>
        <w:tc>
          <w:tcPr>
            <w:tcW w:w="0" w:type="auto"/>
            <w:hideMark/>
          </w:tcPr>
          <w:p w14:paraId="420101C4" w14:textId="77777777" w:rsidR="00193AE0" w:rsidRPr="00193AE0" w:rsidRDefault="00193AE0" w:rsidP="00193AE0">
            <w:pPr>
              <w:spacing w:after="160" w:line="278" w:lineRule="auto"/>
              <w:cnfStyle w:val="100000000000" w:firstRow="1" w:lastRow="0" w:firstColumn="0" w:lastColumn="0" w:oddVBand="0" w:evenVBand="0" w:oddHBand="0" w:evenHBand="0" w:firstRowFirstColumn="0" w:firstRowLastColumn="0" w:lastRowFirstColumn="0" w:lastRowLastColumn="0"/>
            </w:pPr>
            <w:r w:rsidRPr="00193AE0">
              <w:t>Greater Curvature</w:t>
            </w:r>
          </w:p>
        </w:tc>
      </w:tr>
      <w:tr w:rsidR="00193AE0" w:rsidRPr="00193AE0" w14:paraId="3A810199"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51C02" w14:textId="77777777" w:rsidR="00193AE0" w:rsidRPr="00193AE0" w:rsidRDefault="00193AE0" w:rsidP="00193AE0">
            <w:pPr>
              <w:spacing w:after="160" w:line="278" w:lineRule="auto"/>
            </w:pPr>
            <w:r w:rsidRPr="00193AE0">
              <w:t>Original position</w:t>
            </w:r>
          </w:p>
        </w:tc>
        <w:tc>
          <w:tcPr>
            <w:tcW w:w="0" w:type="auto"/>
            <w:hideMark/>
          </w:tcPr>
          <w:p w14:paraId="66A035DE"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Ventral midline</w:t>
            </w:r>
          </w:p>
        </w:tc>
        <w:tc>
          <w:tcPr>
            <w:tcW w:w="0" w:type="auto"/>
            <w:hideMark/>
          </w:tcPr>
          <w:p w14:paraId="2B3F67E2"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Dorsal midline</w:t>
            </w:r>
          </w:p>
        </w:tc>
      </w:tr>
      <w:tr w:rsidR="00193AE0" w:rsidRPr="00193AE0" w14:paraId="41DA8440" w14:textId="77777777" w:rsidTr="00193AE0">
        <w:tc>
          <w:tcPr>
            <w:cnfStyle w:val="001000000000" w:firstRow="0" w:lastRow="0" w:firstColumn="1" w:lastColumn="0" w:oddVBand="0" w:evenVBand="0" w:oddHBand="0" w:evenHBand="0" w:firstRowFirstColumn="0" w:firstRowLastColumn="0" w:lastRowFirstColumn="0" w:lastRowLastColumn="0"/>
            <w:tcW w:w="0" w:type="auto"/>
            <w:hideMark/>
          </w:tcPr>
          <w:p w14:paraId="022722C7" w14:textId="77777777" w:rsidR="00193AE0" w:rsidRPr="00193AE0" w:rsidRDefault="00193AE0" w:rsidP="00193AE0">
            <w:pPr>
              <w:spacing w:after="160" w:line="278" w:lineRule="auto"/>
            </w:pPr>
            <w:r w:rsidRPr="00193AE0">
              <w:t>Growth rate</w:t>
            </w:r>
          </w:p>
        </w:tc>
        <w:tc>
          <w:tcPr>
            <w:tcW w:w="0" w:type="auto"/>
            <w:hideMark/>
          </w:tcPr>
          <w:p w14:paraId="326DD7C1"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Slower</w:t>
            </w:r>
          </w:p>
        </w:tc>
        <w:tc>
          <w:tcPr>
            <w:tcW w:w="0" w:type="auto"/>
            <w:hideMark/>
          </w:tcPr>
          <w:p w14:paraId="3AFAC814"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Faster</w:t>
            </w:r>
          </w:p>
        </w:tc>
      </w:tr>
      <w:tr w:rsidR="00193AE0" w:rsidRPr="00193AE0" w14:paraId="1CEFC81D"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0750C" w14:textId="77777777" w:rsidR="00193AE0" w:rsidRPr="00193AE0" w:rsidRDefault="00193AE0" w:rsidP="00193AE0">
            <w:pPr>
              <w:spacing w:after="160" w:line="278" w:lineRule="auto"/>
            </w:pPr>
            <w:r w:rsidRPr="00193AE0">
              <w:t>Concavity visible</w:t>
            </w:r>
          </w:p>
        </w:tc>
        <w:tc>
          <w:tcPr>
            <w:tcW w:w="0" w:type="auto"/>
            <w:hideMark/>
          </w:tcPr>
          <w:p w14:paraId="4D67397B"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 xml:space="preserve">4th </w:t>
            </w:r>
            <w:proofErr w:type="spellStart"/>
            <w:r w:rsidRPr="00193AE0">
              <w:t>fetal</w:t>
            </w:r>
            <w:proofErr w:type="spellEnd"/>
            <w:r w:rsidRPr="00193AE0">
              <w:t xml:space="preserve"> month</w:t>
            </w:r>
          </w:p>
        </w:tc>
        <w:tc>
          <w:tcPr>
            <w:tcW w:w="0" w:type="auto"/>
            <w:hideMark/>
          </w:tcPr>
          <w:p w14:paraId="0C1501B9"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w:t>
            </w:r>
          </w:p>
        </w:tc>
      </w:tr>
      <w:tr w:rsidR="00193AE0" w:rsidRPr="00193AE0" w14:paraId="246BB4E6" w14:textId="77777777" w:rsidTr="00193AE0">
        <w:tc>
          <w:tcPr>
            <w:cnfStyle w:val="001000000000" w:firstRow="0" w:lastRow="0" w:firstColumn="1" w:lastColumn="0" w:oddVBand="0" w:evenVBand="0" w:oddHBand="0" w:evenHBand="0" w:firstRowFirstColumn="0" w:firstRowLastColumn="0" w:lastRowFirstColumn="0" w:lastRowLastColumn="0"/>
            <w:tcW w:w="0" w:type="auto"/>
            <w:hideMark/>
          </w:tcPr>
          <w:p w14:paraId="35DCB2F6" w14:textId="77777777" w:rsidR="00193AE0" w:rsidRPr="00193AE0" w:rsidRDefault="00193AE0" w:rsidP="00193AE0">
            <w:pPr>
              <w:spacing w:after="160" w:line="278" w:lineRule="auto"/>
            </w:pPr>
            <w:r w:rsidRPr="00193AE0">
              <w:t>Fundus outgrowth</w:t>
            </w:r>
          </w:p>
        </w:tc>
        <w:tc>
          <w:tcPr>
            <w:tcW w:w="0" w:type="auto"/>
            <w:hideMark/>
          </w:tcPr>
          <w:p w14:paraId="6ECA6A92"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w:t>
            </w:r>
          </w:p>
        </w:tc>
        <w:tc>
          <w:tcPr>
            <w:tcW w:w="0" w:type="auto"/>
            <w:hideMark/>
          </w:tcPr>
          <w:p w14:paraId="66674FC2"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8th month</w:t>
            </w:r>
          </w:p>
        </w:tc>
      </w:tr>
      <w:tr w:rsidR="00193AE0" w:rsidRPr="00193AE0" w14:paraId="48DD4119"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792DA" w14:textId="77777777" w:rsidR="00193AE0" w:rsidRPr="00193AE0" w:rsidRDefault="00193AE0" w:rsidP="00193AE0">
            <w:pPr>
              <w:spacing w:after="160" w:line="278" w:lineRule="auto"/>
            </w:pPr>
            <w:r w:rsidRPr="00193AE0">
              <w:t>Vagal relation</w:t>
            </w:r>
          </w:p>
        </w:tc>
        <w:tc>
          <w:tcPr>
            <w:tcW w:w="0" w:type="auto"/>
            <w:hideMark/>
          </w:tcPr>
          <w:p w14:paraId="649990FB"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 xml:space="preserve">Left (anterior) </w:t>
            </w:r>
            <w:proofErr w:type="spellStart"/>
            <w:r w:rsidRPr="00193AE0">
              <w:t>vagus</w:t>
            </w:r>
            <w:proofErr w:type="spellEnd"/>
          </w:p>
        </w:tc>
        <w:tc>
          <w:tcPr>
            <w:tcW w:w="0" w:type="auto"/>
            <w:hideMark/>
          </w:tcPr>
          <w:p w14:paraId="725BDA93"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w:t>
            </w:r>
          </w:p>
        </w:tc>
      </w:tr>
    </w:tbl>
    <w:p w14:paraId="05B46DCE" w14:textId="77777777" w:rsidR="00193AE0" w:rsidRDefault="00193AE0" w:rsidP="00193AE0">
      <w:pPr>
        <w:rPr>
          <w:b/>
          <w:bCs/>
        </w:rPr>
      </w:pPr>
    </w:p>
    <w:p w14:paraId="74377382" w14:textId="75906178" w:rsidR="00193AE0" w:rsidRPr="00193AE0" w:rsidRDefault="00193AE0" w:rsidP="00107680">
      <w:pPr>
        <w:pStyle w:val="Heading2"/>
      </w:pPr>
      <w:r w:rsidRPr="00193AE0">
        <w:t xml:space="preserve">Histogenesis </w:t>
      </w:r>
      <w:r>
        <w:t>-</w:t>
      </w:r>
      <w:r w:rsidRPr="00193AE0">
        <w:t xml:space="preserve"> </w:t>
      </w:r>
      <w:r>
        <w:t>t</w:t>
      </w:r>
      <w:r w:rsidRPr="00193AE0">
        <w:t>imeline</w:t>
      </w:r>
    </w:p>
    <w:tbl>
      <w:tblPr>
        <w:tblStyle w:val="PlainTable1"/>
        <w:tblW w:w="0" w:type="auto"/>
        <w:tblLook w:val="04A0" w:firstRow="1" w:lastRow="0" w:firstColumn="1" w:lastColumn="0" w:noHBand="0" w:noVBand="1"/>
      </w:tblPr>
      <w:tblGrid>
        <w:gridCol w:w="4216"/>
        <w:gridCol w:w="3439"/>
      </w:tblGrid>
      <w:tr w:rsidR="00193AE0" w:rsidRPr="00193AE0" w14:paraId="75F4CB2A" w14:textId="77777777" w:rsidTr="00193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731F3" w14:textId="77777777" w:rsidR="00193AE0" w:rsidRPr="00193AE0" w:rsidRDefault="00193AE0" w:rsidP="00193AE0">
            <w:pPr>
              <w:spacing w:after="160" w:line="278" w:lineRule="auto"/>
            </w:pPr>
            <w:r w:rsidRPr="00193AE0">
              <w:t>Structure</w:t>
            </w:r>
          </w:p>
        </w:tc>
        <w:tc>
          <w:tcPr>
            <w:tcW w:w="0" w:type="auto"/>
            <w:hideMark/>
          </w:tcPr>
          <w:p w14:paraId="4223E429" w14:textId="77777777" w:rsidR="00193AE0" w:rsidRPr="00193AE0" w:rsidRDefault="00193AE0" w:rsidP="00193AE0">
            <w:pPr>
              <w:spacing w:after="160" w:line="278" w:lineRule="auto"/>
              <w:cnfStyle w:val="100000000000" w:firstRow="1" w:lastRow="0" w:firstColumn="0" w:lastColumn="0" w:oddVBand="0" w:evenVBand="0" w:oddHBand="0" w:evenHBand="0" w:firstRowFirstColumn="0" w:firstRowLastColumn="0" w:lastRowFirstColumn="0" w:lastRowLastColumn="0"/>
            </w:pPr>
            <w:r w:rsidRPr="00193AE0">
              <w:t>Timing</w:t>
            </w:r>
          </w:p>
        </w:tc>
      </w:tr>
      <w:tr w:rsidR="00193AE0" w:rsidRPr="00193AE0" w14:paraId="1C7374AA"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2F508" w14:textId="77777777" w:rsidR="00193AE0" w:rsidRPr="00193AE0" w:rsidRDefault="00193AE0" w:rsidP="00193AE0">
            <w:pPr>
              <w:spacing w:after="160" w:line="278" w:lineRule="auto"/>
            </w:pPr>
            <w:r w:rsidRPr="00193AE0">
              <w:t>Rugae</w:t>
            </w:r>
          </w:p>
        </w:tc>
        <w:tc>
          <w:tcPr>
            <w:tcW w:w="0" w:type="auto"/>
            <w:hideMark/>
          </w:tcPr>
          <w:p w14:paraId="171F079B"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~8th week</w:t>
            </w:r>
          </w:p>
        </w:tc>
      </w:tr>
      <w:tr w:rsidR="00193AE0" w:rsidRPr="00193AE0" w14:paraId="5F11645F" w14:textId="77777777" w:rsidTr="00193AE0">
        <w:tc>
          <w:tcPr>
            <w:cnfStyle w:val="001000000000" w:firstRow="0" w:lastRow="0" w:firstColumn="1" w:lastColumn="0" w:oddVBand="0" w:evenVBand="0" w:oddHBand="0" w:evenHBand="0" w:firstRowFirstColumn="0" w:firstRowLastColumn="0" w:lastRowFirstColumn="0" w:lastRowLastColumn="0"/>
            <w:tcW w:w="0" w:type="auto"/>
            <w:hideMark/>
          </w:tcPr>
          <w:p w14:paraId="144F6FCF" w14:textId="77777777" w:rsidR="00193AE0" w:rsidRPr="00193AE0" w:rsidRDefault="00193AE0" w:rsidP="00193AE0">
            <w:pPr>
              <w:spacing w:after="160" w:line="278" w:lineRule="auto"/>
            </w:pPr>
            <w:r w:rsidRPr="00193AE0">
              <w:t>Muscularis</w:t>
            </w:r>
          </w:p>
        </w:tc>
        <w:tc>
          <w:tcPr>
            <w:tcW w:w="0" w:type="auto"/>
            <w:hideMark/>
          </w:tcPr>
          <w:p w14:paraId="468107B4"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8th–14th week</w:t>
            </w:r>
          </w:p>
        </w:tc>
      </w:tr>
      <w:tr w:rsidR="00193AE0" w:rsidRPr="00193AE0" w14:paraId="4034DB61"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48480" w14:textId="77777777" w:rsidR="00193AE0" w:rsidRPr="00193AE0" w:rsidRDefault="00193AE0" w:rsidP="00193AE0">
            <w:pPr>
              <w:spacing w:after="160" w:line="278" w:lineRule="auto"/>
            </w:pPr>
            <w:r w:rsidRPr="00193AE0">
              <w:t>Glandular pits (lesser curvature first)</w:t>
            </w:r>
          </w:p>
        </w:tc>
        <w:tc>
          <w:tcPr>
            <w:tcW w:w="0" w:type="auto"/>
            <w:hideMark/>
          </w:tcPr>
          <w:p w14:paraId="149C033C"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6th–9th week</w:t>
            </w:r>
          </w:p>
        </w:tc>
      </w:tr>
      <w:tr w:rsidR="00193AE0" w:rsidRPr="00193AE0" w14:paraId="7661B8AB" w14:textId="77777777" w:rsidTr="00193AE0">
        <w:tc>
          <w:tcPr>
            <w:cnfStyle w:val="001000000000" w:firstRow="0" w:lastRow="0" w:firstColumn="1" w:lastColumn="0" w:oddVBand="0" w:evenVBand="0" w:oddHBand="0" w:evenHBand="0" w:firstRowFirstColumn="0" w:firstRowLastColumn="0" w:lastRowFirstColumn="0" w:lastRowLastColumn="0"/>
            <w:tcW w:w="0" w:type="auto"/>
            <w:hideMark/>
          </w:tcPr>
          <w:p w14:paraId="46D0F620" w14:textId="77777777" w:rsidR="00193AE0" w:rsidRPr="00193AE0" w:rsidRDefault="00193AE0" w:rsidP="00193AE0">
            <w:pPr>
              <w:spacing w:after="160" w:line="278" w:lineRule="auto"/>
            </w:pPr>
            <w:r w:rsidRPr="00193AE0">
              <w:t>Glandular pits (entire stomach)</w:t>
            </w:r>
          </w:p>
        </w:tc>
        <w:tc>
          <w:tcPr>
            <w:tcW w:w="0" w:type="auto"/>
            <w:hideMark/>
          </w:tcPr>
          <w:p w14:paraId="597EF3F4"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By 10th week</w:t>
            </w:r>
          </w:p>
        </w:tc>
      </w:tr>
      <w:tr w:rsidR="00193AE0" w:rsidRPr="00193AE0" w14:paraId="41C29E36"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680F1" w14:textId="77777777" w:rsidR="00193AE0" w:rsidRPr="00193AE0" w:rsidRDefault="00193AE0" w:rsidP="00193AE0">
            <w:pPr>
              <w:spacing w:after="160" w:line="278" w:lineRule="auto"/>
            </w:pPr>
            <w:r w:rsidRPr="00193AE0">
              <w:t>Parietal cells recognizable</w:t>
            </w:r>
          </w:p>
        </w:tc>
        <w:tc>
          <w:tcPr>
            <w:tcW w:w="0" w:type="auto"/>
            <w:hideMark/>
          </w:tcPr>
          <w:p w14:paraId="14BD6B1B"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~11th week</w:t>
            </w:r>
          </w:p>
        </w:tc>
      </w:tr>
      <w:tr w:rsidR="00193AE0" w:rsidRPr="00193AE0" w14:paraId="09820AD4" w14:textId="77777777" w:rsidTr="00193AE0">
        <w:tc>
          <w:tcPr>
            <w:cnfStyle w:val="001000000000" w:firstRow="0" w:lastRow="0" w:firstColumn="1" w:lastColumn="0" w:oddVBand="0" w:evenVBand="0" w:oddHBand="0" w:evenHBand="0" w:firstRowFirstColumn="0" w:firstRowLastColumn="0" w:lastRowFirstColumn="0" w:lastRowLastColumn="0"/>
            <w:tcW w:w="0" w:type="auto"/>
            <w:hideMark/>
          </w:tcPr>
          <w:p w14:paraId="623C4852" w14:textId="77777777" w:rsidR="00193AE0" w:rsidRPr="00193AE0" w:rsidRDefault="00193AE0" w:rsidP="00193AE0">
            <w:pPr>
              <w:spacing w:after="160" w:line="278" w:lineRule="auto"/>
            </w:pPr>
            <w:r w:rsidRPr="00193AE0">
              <w:t>Chief cells recognizable</w:t>
            </w:r>
          </w:p>
        </w:tc>
        <w:tc>
          <w:tcPr>
            <w:tcW w:w="0" w:type="auto"/>
            <w:hideMark/>
          </w:tcPr>
          <w:p w14:paraId="3DAF4F4D"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~12th week</w:t>
            </w:r>
          </w:p>
        </w:tc>
      </w:tr>
      <w:tr w:rsidR="00193AE0" w:rsidRPr="00193AE0" w14:paraId="25480D39"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60FED" w14:textId="77777777" w:rsidR="00193AE0" w:rsidRPr="00193AE0" w:rsidRDefault="00193AE0" w:rsidP="00193AE0">
            <w:pPr>
              <w:spacing w:after="160" w:line="278" w:lineRule="auto"/>
            </w:pPr>
            <w:r w:rsidRPr="00193AE0">
              <w:t>Mucous cells</w:t>
            </w:r>
          </w:p>
        </w:tc>
        <w:tc>
          <w:tcPr>
            <w:tcW w:w="0" w:type="auto"/>
            <w:hideMark/>
          </w:tcPr>
          <w:p w14:paraId="00FDD7AF"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~12th week</w:t>
            </w:r>
          </w:p>
        </w:tc>
      </w:tr>
      <w:tr w:rsidR="00193AE0" w:rsidRPr="00193AE0" w14:paraId="7AE165F4" w14:textId="77777777" w:rsidTr="00193AE0">
        <w:tc>
          <w:tcPr>
            <w:cnfStyle w:val="001000000000" w:firstRow="0" w:lastRow="0" w:firstColumn="1" w:lastColumn="0" w:oddVBand="0" w:evenVBand="0" w:oddHBand="0" w:evenHBand="0" w:firstRowFirstColumn="0" w:firstRowLastColumn="0" w:lastRowFirstColumn="0" w:lastRowLastColumn="0"/>
            <w:tcW w:w="0" w:type="auto"/>
            <w:hideMark/>
          </w:tcPr>
          <w:p w14:paraId="58300379" w14:textId="77777777" w:rsidR="00193AE0" w:rsidRPr="00193AE0" w:rsidRDefault="00193AE0" w:rsidP="00193AE0">
            <w:pPr>
              <w:spacing w:after="160" w:line="278" w:lineRule="auto"/>
            </w:pPr>
            <w:r w:rsidRPr="00193AE0">
              <w:t>Pepsin in mucosa</w:t>
            </w:r>
          </w:p>
        </w:tc>
        <w:tc>
          <w:tcPr>
            <w:tcW w:w="0" w:type="auto"/>
            <w:hideMark/>
          </w:tcPr>
          <w:p w14:paraId="45020E0A" w14:textId="77777777" w:rsidR="00193AE0" w:rsidRPr="00193AE0" w:rsidRDefault="00193AE0" w:rsidP="00193AE0">
            <w:pPr>
              <w:spacing w:after="160" w:line="278" w:lineRule="auto"/>
              <w:cnfStyle w:val="000000000000" w:firstRow="0" w:lastRow="0" w:firstColumn="0" w:lastColumn="0" w:oddVBand="0" w:evenVBand="0" w:oddHBand="0" w:evenHBand="0" w:firstRowFirstColumn="0" w:firstRowLastColumn="0" w:lastRowFirstColumn="0" w:lastRowLastColumn="0"/>
            </w:pPr>
            <w:r w:rsidRPr="00193AE0">
              <w:t>Second half of 6th month</w:t>
            </w:r>
          </w:p>
        </w:tc>
      </w:tr>
      <w:tr w:rsidR="00193AE0" w:rsidRPr="00193AE0" w14:paraId="458D0715" w14:textId="77777777" w:rsidTr="00193A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1370E" w14:textId="77777777" w:rsidR="00193AE0" w:rsidRPr="00193AE0" w:rsidRDefault="00193AE0" w:rsidP="00193AE0">
            <w:pPr>
              <w:spacing w:after="160" w:line="278" w:lineRule="auto"/>
            </w:pPr>
            <w:r w:rsidRPr="00193AE0">
              <w:t>At birth</w:t>
            </w:r>
          </w:p>
        </w:tc>
        <w:tc>
          <w:tcPr>
            <w:tcW w:w="0" w:type="auto"/>
            <w:hideMark/>
          </w:tcPr>
          <w:p w14:paraId="1379DFD7" w14:textId="77777777" w:rsidR="00193AE0" w:rsidRPr="00193AE0" w:rsidRDefault="00193AE0" w:rsidP="00193AE0">
            <w:pPr>
              <w:spacing w:after="160" w:line="278" w:lineRule="auto"/>
              <w:cnfStyle w:val="000000100000" w:firstRow="0" w:lastRow="0" w:firstColumn="0" w:lastColumn="0" w:oddVBand="0" w:evenVBand="0" w:oddHBand="1" w:evenHBand="0" w:firstRowFirstColumn="0" w:firstRowLastColumn="0" w:lastRowFirstColumn="0" w:lastRowLastColumn="0"/>
            </w:pPr>
            <w:r w:rsidRPr="00193AE0">
              <w:t>~200,000 pits; ~500,000 glands</w:t>
            </w:r>
          </w:p>
        </w:tc>
      </w:tr>
    </w:tbl>
    <w:p w14:paraId="5B0D2A24" w14:textId="77777777" w:rsidR="00193AE0" w:rsidRDefault="00193AE0" w:rsidP="00193AE0">
      <w:pPr>
        <w:rPr>
          <w:rFonts w:ascii="Segoe UI Emoji" w:hAnsi="Segoe UI Emoji" w:cs="Segoe UI Emoji"/>
          <w:b/>
          <w:bCs/>
        </w:rPr>
      </w:pPr>
    </w:p>
    <w:p w14:paraId="4E559183" w14:textId="0B562C36" w:rsidR="00193AE0" w:rsidRPr="00193AE0" w:rsidRDefault="00193AE0" w:rsidP="00193AE0">
      <w:r>
        <w:rPr>
          <w:rFonts w:ascii="Segoe UI Emoji" w:hAnsi="Segoe UI Emoji" w:cs="Segoe UI Emoji"/>
          <w:b/>
          <w:bCs/>
        </w:rPr>
        <w:t>[CLINICAL]</w:t>
      </w:r>
      <w:r w:rsidRPr="00193AE0">
        <w:t xml:space="preserve"> The sequence — parietal cells before chief cells — reflects the maturation order of the gastric unit. Parietal cells are the first functional secretory cells; HCl </w:t>
      </w:r>
      <w:r w:rsidRPr="00193AE0">
        <w:lastRenderedPageBreak/>
        <w:t xml:space="preserve">secretion begins in </w:t>
      </w:r>
      <w:proofErr w:type="spellStart"/>
      <w:r w:rsidRPr="00193AE0">
        <w:t>fetal</w:t>
      </w:r>
      <w:proofErr w:type="spellEnd"/>
      <w:r w:rsidRPr="00193AE0">
        <w:t xml:space="preserve"> life and has a role in amniotic fluid acidification and possible antimicrobial defence.</w:t>
      </w:r>
    </w:p>
    <w:p w14:paraId="239BBED1" w14:textId="5A59B2A4" w:rsidR="00193AE0" w:rsidRPr="00193AE0" w:rsidRDefault="00193AE0" w:rsidP="00193AE0">
      <w:pPr>
        <w:pStyle w:val="Heading2"/>
      </w:pPr>
      <w:r w:rsidRPr="00193AE0">
        <w:t>Molecular Basis</w:t>
      </w:r>
    </w:p>
    <w:p w14:paraId="28F42301" w14:textId="77777777" w:rsidR="00193AE0" w:rsidRPr="00193AE0" w:rsidRDefault="00193AE0" w:rsidP="00193AE0">
      <w:r w:rsidRPr="00193AE0">
        <w:rPr>
          <w:b/>
          <w:bCs/>
        </w:rPr>
        <w:t>Foregut-stomach specification:</w:t>
      </w:r>
    </w:p>
    <w:p w14:paraId="38EFB75A" w14:textId="77777777" w:rsidR="00193AE0" w:rsidRPr="00193AE0" w:rsidRDefault="00193AE0" w:rsidP="00193AE0">
      <w:pPr>
        <w:numPr>
          <w:ilvl w:val="0"/>
          <w:numId w:val="2"/>
        </w:numPr>
      </w:pPr>
      <w:r w:rsidRPr="00193AE0">
        <w:rPr>
          <w:b/>
          <w:bCs/>
        </w:rPr>
        <w:t>SOX2</w:t>
      </w:r>
      <w:r w:rsidRPr="00193AE0">
        <w:t xml:space="preserve"> — expressed in the stomach endoderm; essential for gastric identity. SOX2 suppresses intestinal fate (CDX2). Loss of SOX2 → intestinal metaplasia of the stomach.</w:t>
      </w:r>
    </w:p>
    <w:p w14:paraId="5F59D74D" w14:textId="77777777" w:rsidR="00193AE0" w:rsidRPr="00193AE0" w:rsidRDefault="00193AE0" w:rsidP="00193AE0">
      <w:pPr>
        <w:numPr>
          <w:ilvl w:val="0"/>
          <w:numId w:val="2"/>
        </w:numPr>
      </w:pPr>
      <w:r w:rsidRPr="00193AE0">
        <w:rPr>
          <w:b/>
          <w:bCs/>
        </w:rPr>
        <w:t>BARX1</w:t>
      </w:r>
      <w:r w:rsidRPr="00193AE0">
        <w:t xml:space="preserve"> — mesenchymal transcription factor critical for stomach-specific identity; acts by repressing WNT </w:t>
      </w:r>
      <w:proofErr w:type="spellStart"/>
      <w:r w:rsidRPr="00193AE0">
        <w:t>signaling</w:t>
      </w:r>
      <w:proofErr w:type="spellEnd"/>
      <w:r w:rsidRPr="00193AE0">
        <w:t xml:space="preserve"> locally in the stomach region. </w:t>
      </w:r>
      <w:r w:rsidRPr="00193AE0">
        <w:rPr>
          <w:i/>
          <w:iCs/>
        </w:rPr>
        <w:t>BARX1</w:t>
      </w:r>
      <w:r w:rsidRPr="00193AE0">
        <w:t xml:space="preserve"> knockout mice develop an </w:t>
      </w:r>
      <w:proofErr w:type="spellStart"/>
      <w:r w:rsidRPr="00193AE0">
        <w:t>intestinalized</w:t>
      </w:r>
      <w:proofErr w:type="spellEnd"/>
      <w:r w:rsidRPr="00193AE0">
        <w:t xml:space="preserve"> stomach.</w:t>
      </w:r>
    </w:p>
    <w:p w14:paraId="14A59C7C" w14:textId="77777777" w:rsidR="00193AE0" w:rsidRPr="00193AE0" w:rsidRDefault="00193AE0" w:rsidP="00193AE0">
      <w:pPr>
        <w:numPr>
          <w:ilvl w:val="0"/>
          <w:numId w:val="2"/>
        </w:numPr>
      </w:pPr>
      <w:r w:rsidRPr="00193AE0">
        <w:rPr>
          <w:b/>
          <w:bCs/>
        </w:rPr>
        <w:t xml:space="preserve">WNT </w:t>
      </w:r>
      <w:proofErr w:type="spellStart"/>
      <w:r w:rsidRPr="00193AE0">
        <w:rPr>
          <w:b/>
          <w:bCs/>
        </w:rPr>
        <w:t>signaling</w:t>
      </w:r>
      <w:proofErr w:type="spellEnd"/>
      <w:r w:rsidRPr="00193AE0">
        <w:t xml:space="preserve"> — suppressed in the stomach region (by BARX1/</w:t>
      </w:r>
      <w:proofErr w:type="spellStart"/>
      <w:r w:rsidRPr="00193AE0">
        <w:t>sFRP</w:t>
      </w:r>
      <w:proofErr w:type="spellEnd"/>
      <w:r w:rsidRPr="00193AE0">
        <w:t>); active in the intestine. This WNT suppression/activation boundary defines the gastroduodenal junction.</w:t>
      </w:r>
    </w:p>
    <w:p w14:paraId="30711006" w14:textId="77777777" w:rsidR="00193AE0" w:rsidRPr="00193AE0" w:rsidRDefault="00193AE0" w:rsidP="00193AE0">
      <w:r w:rsidRPr="00193AE0">
        <w:rPr>
          <w:b/>
          <w:bCs/>
        </w:rPr>
        <w:t>Gland &amp; cell differentiation:</w:t>
      </w:r>
    </w:p>
    <w:p w14:paraId="7C807AE3" w14:textId="77777777" w:rsidR="00193AE0" w:rsidRPr="00193AE0" w:rsidRDefault="00193AE0" w:rsidP="00193AE0">
      <w:pPr>
        <w:numPr>
          <w:ilvl w:val="0"/>
          <w:numId w:val="3"/>
        </w:numPr>
      </w:pPr>
      <w:r w:rsidRPr="00193AE0">
        <w:rPr>
          <w:b/>
          <w:bCs/>
        </w:rPr>
        <w:t xml:space="preserve">Notch </w:t>
      </w:r>
      <w:proofErr w:type="spellStart"/>
      <w:r w:rsidRPr="00193AE0">
        <w:rPr>
          <w:b/>
          <w:bCs/>
        </w:rPr>
        <w:t>signaling</w:t>
      </w:r>
      <w:proofErr w:type="spellEnd"/>
      <w:r w:rsidRPr="00193AE0">
        <w:t xml:space="preserve"> — controls fate decisions between surface mucous cells and glandular cell types (parietal, chief, enteroendocrine)</w:t>
      </w:r>
    </w:p>
    <w:p w14:paraId="67F745F5" w14:textId="77777777" w:rsidR="00193AE0" w:rsidRPr="00193AE0" w:rsidRDefault="00193AE0" w:rsidP="00193AE0">
      <w:pPr>
        <w:numPr>
          <w:ilvl w:val="0"/>
          <w:numId w:val="3"/>
        </w:numPr>
      </w:pPr>
      <w:r w:rsidRPr="00193AE0">
        <w:rPr>
          <w:b/>
          <w:bCs/>
        </w:rPr>
        <w:t>Sonic Hedgehog (SHH)</w:t>
      </w:r>
      <w:r w:rsidRPr="00193AE0">
        <w:t xml:space="preserve"> — secreted from gastric endoderm; regulates mesenchymal patterning and gland morphogenesis</w:t>
      </w:r>
    </w:p>
    <w:p w14:paraId="1443ACA3" w14:textId="77777777" w:rsidR="00193AE0" w:rsidRPr="00193AE0" w:rsidRDefault="00193AE0" w:rsidP="00193AE0">
      <w:pPr>
        <w:numPr>
          <w:ilvl w:val="0"/>
          <w:numId w:val="3"/>
        </w:numPr>
      </w:pPr>
      <w:r w:rsidRPr="00193AE0">
        <w:rPr>
          <w:b/>
          <w:bCs/>
        </w:rPr>
        <w:t>NGN3 (Neurogenin-3)</w:t>
      </w:r>
      <w:r w:rsidRPr="00193AE0">
        <w:t xml:space="preserve"> — required for enteroendocrine cell differentiation in the stomach</w:t>
      </w:r>
    </w:p>
    <w:p w14:paraId="03429A86" w14:textId="77777777" w:rsidR="00193AE0" w:rsidRPr="00193AE0" w:rsidRDefault="00193AE0" w:rsidP="00193AE0">
      <w:pPr>
        <w:numPr>
          <w:ilvl w:val="0"/>
          <w:numId w:val="3"/>
        </w:numPr>
      </w:pPr>
      <w:r w:rsidRPr="00193AE0">
        <w:rPr>
          <w:b/>
          <w:bCs/>
        </w:rPr>
        <w:t>MIST1 (BHLHA15)</w:t>
      </w:r>
      <w:r w:rsidRPr="00193AE0">
        <w:t xml:space="preserve"> — transcription factor required for mature chief cell (zymogenic cell) identity; MIST1 knockout → chief cells fail to fully differentiate</w:t>
      </w:r>
    </w:p>
    <w:p w14:paraId="2D2EA7B9" w14:textId="77777777" w:rsidR="00193AE0" w:rsidRPr="00193AE0" w:rsidRDefault="00193AE0" w:rsidP="00193AE0">
      <w:pPr>
        <w:numPr>
          <w:ilvl w:val="0"/>
          <w:numId w:val="3"/>
        </w:numPr>
      </w:pPr>
      <w:r w:rsidRPr="00193AE0">
        <w:rPr>
          <w:b/>
          <w:bCs/>
        </w:rPr>
        <w:t>H</w:t>
      </w:r>
      <w:r w:rsidRPr="00193AE0">
        <w:rPr>
          <w:rFonts w:ascii="Cambria Math" w:hAnsi="Cambria Math" w:cs="Cambria Math"/>
          <w:b/>
          <w:bCs/>
        </w:rPr>
        <w:t>⁺</w:t>
      </w:r>
      <w:r w:rsidRPr="00193AE0">
        <w:rPr>
          <w:b/>
          <w:bCs/>
        </w:rPr>
        <w:t>/K</w:t>
      </w:r>
      <w:r w:rsidRPr="00193AE0">
        <w:rPr>
          <w:rFonts w:ascii="Cambria Math" w:hAnsi="Cambria Math" w:cs="Cambria Math"/>
          <w:b/>
          <w:bCs/>
        </w:rPr>
        <w:t>⁺</w:t>
      </w:r>
      <w:r w:rsidRPr="00193AE0">
        <w:rPr>
          <w:b/>
          <w:bCs/>
        </w:rPr>
        <w:t>-ATPase (ATP4A/ATP4B)</w:t>
      </w:r>
      <w:r w:rsidRPr="00193AE0">
        <w:t xml:space="preserve"> — parietal cell proton pump; expressed from ~11th week, reflecting early functional maturation</w:t>
      </w:r>
    </w:p>
    <w:p w14:paraId="71E54204" w14:textId="77777777" w:rsidR="00193AE0" w:rsidRPr="00193AE0" w:rsidRDefault="00193AE0" w:rsidP="00193AE0">
      <w:r w:rsidRPr="00193AE0">
        <w:rPr>
          <w:b/>
          <w:bCs/>
        </w:rPr>
        <w:t>Curvature/rotation patterning:</w:t>
      </w:r>
    </w:p>
    <w:p w14:paraId="0322942F" w14:textId="77777777" w:rsidR="00193AE0" w:rsidRPr="00193AE0" w:rsidRDefault="00193AE0" w:rsidP="00193AE0">
      <w:pPr>
        <w:numPr>
          <w:ilvl w:val="0"/>
          <w:numId w:val="4"/>
        </w:numPr>
      </w:pPr>
      <w:r w:rsidRPr="00193AE0">
        <w:rPr>
          <w:b/>
          <w:bCs/>
        </w:rPr>
        <w:t>Pitx2</w:t>
      </w:r>
      <w:r w:rsidRPr="00193AE0">
        <w:t xml:space="preserve"> — expressed asymmetrically on the left side; controls left-right asymmetry including gastric positioning</w:t>
      </w:r>
    </w:p>
    <w:p w14:paraId="609B84F2" w14:textId="77777777" w:rsidR="00193AE0" w:rsidRPr="00193AE0" w:rsidRDefault="00193AE0" w:rsidP="00193AE0">
      <w:pPr>
        <w:numPr>
          <w:ilvl w:val="0"/>
          <w:numId w:val="4"/>
        </w:numPr>
      </w:pPr>
      <w:r w:rsidRPr="00193AE0">
        <w:rPr>
          <w:b/>
          <w:bCs/>
        </w:rPr>
        <w:t>Nodal/Lefty/Pitx2 cascade</w:t>
      </w:r>
      <w:r w:rsidRPr="00193AE0">
        <w:t xml:space="preserve"> — the same left-right axis pathway that determines cardiac looping also positions the stomach; mutations cause situs inversus with gastric malposition</w:t>
      </w:r>
    </w:p>
    <w:p w14:paraId="70507A15" w14:textId="2C0275FF" w:rsidR="00193AE0" w:rsidRPr="00193AE0" w:rsidRDefault="00193AE0" w:rsidP="00193AE0">
      <w:pPr>
        <w:pStyle w:val="Heading2"/>
      </w:pPr>
      <w:r w:rsidRPr="00193AE0">
        <w:t>Clinical Correlations</w:t>
      </w:r>
    </w:p>
    <w:p w14:paraId="5A686F23" w14:textId="77777777" w:rsidR="00193AE0" w:rsidRPr="00193AE0" w:rsidRDefault="00193AE0" w:rsidP="00193AE0">
      <w:r w:rsidRPr="00193AE0">
        <w:rPr>
          <w:b/>
          <w:bCs/>
        </w:rPr>
        <w:t>Hypertrophic Pyloric Stenosis (HPS)</w:t>
      </w:r>
    </w:p>
    <w:p w14:paraId="737C8720" w14:textId="77777777" w:rsidR="00193AE0" w:rsidRPr="00193AE0" w:rsidRDefault="00193AE0" w:rsidP="00193AE0">
      <w:pPr>
        <w:numPr>
          <w:ilvl w:val="0"/>
          <w:numId w:val="5"/>
        </w:numPr>
      </w:pPr>
      <w:r w:rsidRPr="00193AE0">
        <w:lastRenderedPageBreak/>
        <w:t>Hypertrophy of the circular muscle layer of the pylorus, manifesting at 2–6 weeks of age</w:t>
      </w:r>
    </w:p>
    <w:p w14:paraId="0B58C8AB" w14:textId="77777777" w:rsidR="00193AE0" w:rsidRPr="00193AE0" w:rsidRDefault="00193AE0" w:rsidP="00193AE0">
      <w:pPr>
        <w:numPr>
          <w:ilvl w:val="0"/>
          <w:numId w:val="5"/>
        </w:numPr>
      </w:pPr>
      <w:r w:rsidRPr="00193AE0">
        <w:t xml:space="preserve">Projectile, non-bilious vomiting → metabolic </w:t>
      </w:r>
      <w:proofErr w:type="spellStart"/>
      <w:r w:rsidRPr="00193AE0">
        <w:t>hypochloraemic</w:t>
      </w:r>
      <w:proofErr w:type="spellEnd"/>
      <w:r w:rsidRPr="00193AE0">
        <w:t xml:space="preserve"> </w:t>
      </w:r>
      <w:proofErr w:type="spellStart"/>
      <w:r w:rsidRPr="00193AE0">
        <w:t>hypokalaemic</w:t>
      </w:r>
      <w:proofErr w:type="spellEnd"/>
      <w:r w:rsidRPr="00193AE0">
        <w:t xml:space="preserve"> alkalosis</w:t>
      </w:r>
    </w:p>
    <w:p w14:paraId="68170D47" w14:textId="77777777" w:rsidR="00193AE0" w:rsidRPr="00193AE0" w:rsidRDefault="00193AE0" w:rsidP="00193AE0">
      <w:pPr>
        <w:numPr>
          <w:ilvl w:val="0"/>
          <w:numId w:val="5"/>
        </w:numPr>
      </w:pPr>
      <w:r w:rsidRPr="00193AE0">
        <w:t>Pathogenesis involves abnormal NOS (nitric oxide synthase) expression in the pyloric muscle → failure of relaxation; also linked to reduced IGF-1 and EGF signalling in the pyloric wall</w:t>
      </w:r>
    </w:p>
    <w:p w14:paraId="57654FBB" w14:textId="77777777" w:rsidR="00193AE0" w:rsidRPr="00193AE0" w:rsidRDefault="00193AE0" w:rsidP="00193AE0">
      <w:pPr>
        <w:numPr>
          <w:ilvl w:val="0"/>
          <w:numId w:val="5"/>
        </w:numPr>
      </w:pPr>
      <w:r w:rsidRPr="00193AE0">
        <w:t>Associated with erythromycin use in neonates (motilin receptor agonist → pyloric spasm)</w:t>
      </w:r>
    </w:p>
    <w:p w14:paraId="64B0AB33" w14:textId="77777777" w:rsidR="00193AE0" w:rsidRPr="00193AE0" w:rsidRDefault="00193AE0" w:rsidP="00193AE0">
      <w:pPr>
        <w:numPr>
          <w:ilvl w:val="0"/>
          <w:numId w:val="5"/>
        </w:numPr>
      </w:pPr>
      <w:r w:rsidRPr="00193AE0">
        <w:t>Treatment: Ramstedt pyloromyotomy</w:t>
      </w:r>
    </w:p>
    <w:p w14:paraId="68A49D70" w14:textId="77777777" w:rsidR="00193AE0" w:rsidRPr="00193AE0" w:rsidRDefault="00193AE0" w:rsidP="00193AE0">
      <w:r w:rsidRPr="00193AE0">
        <w:rPr>
          <w:b/>
          <w:bCs/>
        </w:rPr>
        <w:t>Gastric Volvulus</w:t>
      </w:r>
    </w:p>
    <w:p w14:paraId="0E38D0B2" w14:textId="77777777" w:rsidR="00193AE0" w:rsidRPr="00193AE0" w:rsidRDefault="00193AE0" w:rsidP="00193AE0">
      <w:pPr>
        <w:numPr>
          <w:ilvl w:val="0"/>
          <w:numId w:val="6"/>
        </w:numPr>
      </w:pPr>
      <w:r w:rsidRPr="00193AE0">
        <w:t>Abnormal rotation or laxity of gastric ligaments → stomach twists on itself</w:t>
      </w:r>
    </w:p>
    <w:p w14:paraId="34AAEB92" w14:textId="77777777" w:rsidR="00193AE0" w:rsidRPr="00193AE0" w:rsidRDefault="00193AE0" w:rsidP="00193AE0">
      <w:pPr>
        <w:numPr>
          <w:ilvl w:val="0"/>
          <w:numId w:val="6"/>
        </w:numPr>
      </w:pPr>
      <w:proofErr w:type="spellStart"/>
      <w:r w:rsidRPr="00193AE0">
        <w:t>Organoaxial</w:t>
      </w:r>
      <w:proofErr w:type="spellEnd"/>
      <w:r w:rsidRPr="00193AE0">
        <w:t xml:space="preserve"> (around long axis, most common) vs. </w:t>
      </w:r>
      <w:proofErr w:type="spellStart"/>
      <w:r w:rsidRPr="00193AE0">
        <w:t>mesenteroaxial</w:t>
      </w:r>
      <w:proofErr w:type="spellEnd"/>
    </w:p>
    <w:p w14:paraId="1C1C0EA4" w14:textId="77777777" w:rsidR="00193AE0" w:rsidRPr="00193AE0" w:rsidRDefault="00193AE0" w:rsidP="00193AE0">
      <w:pPr>
        <w:numPr>
          <w:ilvl w:val="0"/>
          <w:numId w:val="6"/>
        </w:numPr>
      </w:pPr>
      <w:r w:rsidRPr="00193AE0">
        <w:t xml:space="preserve">Embryological basis: abnormal formation or laxity of the gastrosplenic and </w:t>
      </w:r>
      <w:proofErr w:type="spellStart"/>
      <w:r w:rsidRPr="00193AE0">
        <w:t>gastrophrenic</w:t>
      </w:r>
      <w:proofErr w:type="spellEnd"/>
      <w:r w:rsidRPr="00193AE0">
        <w:t xml:space="preserve"> ligaments (derivatives of the dorsal mesogastrium)</w:t>
      </w:r>
    </w:p>
    <w:p w14:paraId="7B6A71CE" w14:textId="77777777" w:rsidR="00193AE0" w:rsidRPr="00193AE0" w:rsidRDefault="00193AE0" w:rsidP="00193AE0">
      <w:r w:rsidRPr="00193AE0">
        <w:rPr>
          <w:b/>
          <w:bCs/>
        </w:rPr>
        <w:t>Gastroesophageal Reflux Disease (GERD) in neonates</w:t>
      </w:r>
    </w:p>
    <w:p w14:paraId="3D9CEFEF" w14:textId="77777777" w:rsidR="00193AE0" w:rsidRPr="00193AE0" w:rsidRDefault="00193AE0" w:rsidP="00193AE0">
      <w:pPr>
        <w:numPr>
          <w:ilvl w:val="0"/>
          <w:numId w:val="7"/>
        </w:numPr>
      </w:pPr>
      <w:r w:rsidRPr="00193AE0">
        <w:t>Immaturity of the lower oesophageal sphincter (LOS); the cardia has not fully descended to its subdiaphragmatic position</w:t>
      </w:r>
    </w:p>
    <w:p w14:paraId="48AD86A8" w14:textId="77777777" w:rsidR="00193AE0" w:rsidRPr="00193AE0" w:rsidRDefault="00193AE0" w:rsidP="00193AE0">
      <w:pPr>
        <w:numPr>
          <w:ilvl w:val="0"/>
          <w:numId w:val="7"/>
        </w:numPr>
      </w:pPr>
      <w:r w:rsidRPr="00193AE0">
        <w:t>Physiological in early infancy; pathological if associated with failure to thrive or oesophagitis</w:t>
      </w:r>
    </w:p>
    <w:p w14:paraId="4413A4E9" w14:textId="77777777" w:rsidR="00193AE0" w:rsidRPr="00193AE0" w:rsidRDefault="00193AE0" w:rsidP="00193AE0">
      <w:r w:rsidRPr="00193AE0">
        <w:rPr>
          <w:b/>
          <w:bCs/>
        </w:rPr>
        <w:t xml:space="preserve">Congenital </w:t>
      </w:r>
      <w:proofErr w:type="spellStart"/>
      <w:r w:rsidRPr="00193AE0">
        <w:rPr>
          <w:b/>
          <w:bCs/>
        </w:rPr>
        <w:t>Microgastria</w:t>
      </w:r>
      <w:proofErr w:type="spellEnd"/>
    </w:p>
    <w:p w14:paraId="40AA5C3B" w14:textId="77777777" w:rsidR="00193AE0" w:rsidRPr="00193AE0" w:rsidRDefault="00193AE0" w:rsidP="00193AE0">
      <w:pPr>
        <w:numPr>
          <w:ilvl w:val="0"/>
          <w:numId w:val="8"/>
        </w:numPr>
      </w:pPr>
      <w:r w:rsidRPr="00193AE0">
        <w:t>Rare failure of stomach to expand from its fusiform primordium; presents as severe GERD, failure to thrive, recurrent aspiration</w:t>
      </w:r>
    </w:p>
    <w:p w14:paraId="62A11840" w14:textId="77777777" w:rsidR="00193AE0" w:rsidRPr="00193AE0" w:rsidRDefault="00193AE0" w:rsidP="00193AE0">
      <w:pPr>
        <w:numPr>
          <w:ilvl w:val="0"/>
          <w:numId w:val="8"/>
        </w:numPr>
      </w:pPr>
      <w:r w:rsidRPr="00193AE0">
        <w:t>Associated with asplenia and limb anomalies</w:t>
      </w:r>
    </w:p>
    <w:p w14:paraId="592C40C4" w14:textId="77777777" w:rsidR="00193AE0" w:rsidRPr="00193AE0" w:rsidRDefault="00193AE0" w:rsidP="00193AE0">
      <w:r w:rsidRPr="00193AE0">
        <w:rPr>
          <w:b/>
          <w:bCs/>
        </w:rPr>
        <w:t>Intestinal Metaplasia of the Stomach</w:t>
      </w:r>
    </w:p>
    <w:p w14:paraId="11BD802A" w14:textId="77777777" w:rsidR="00193AE0" w:rsidRPr="00193AE0" w:rsidRDefault="00193AE0" w:rsidP="00193AE0">
      <w:pPr>
        <w:numPr>
          <w:ilvl w:val="0"/>
          <w:numId w:val="9"/>
        </w:numPr>
      </w:pPr>
      <w:r w:rsidRPr="00193AE0">
        <w:t>Loss of SOX2 expression and gain of CDX2 expression in gastric mucosa → gastric epithelium acquires intestinal characteristics</w:t>
      </w:r>
    </w:p>
    <w:p w14:paraId="2DEA8062" w14:textId="77777777" w:rsidR="00193AE0" w:rsidRPr="00193AE0" w:rsidRDefault="00193AE0" w:rsidP="00193AE0">
      <w:pPr>
        <w:numPr>
          <w:ilvl w:val="0"/>
          <w:numId w:val="9"/>
        </w:numPr>
      </w:pPr>
      <w:r w:rsidRPr="00193AE0">
        <w:t xml:space="preserve">Driven by </w:t>
      </w:r>
      <w:r w:rsidRPr="00193AE0">
        <w:rPr>
          <w:i/>
          <w:iCs/>
        </w:rPr>
        <w:t>H. pylori</w:t>
      </w:r>
      <w:r w:rsidRPr="00193AE0">
        <w:t xml:space="preserve"> infection, bile reflux</w:t>
      </w:r>
    </w:p>
    <w:p w14:paraId="184C0120" w14:textId="77777777" w:rsidR="00193AE0" w:rsidRPr="00193AE0" w:rsidRDefault="00193AE0" w:rsidP="00193AE0">
      <w:pPr>
        <w:numPr>
          <w:ilvl w:val="0"/>
          <w:numId w:val="9"/>
        </w:numPr>
      </w:pPr>
      <w:r w:rsidRPr="00193AE0">
        <w:t>Pre-cancerous lesion → gastric adenocarcinoma (intestinal type)</w:t>
      </w:r>
    </w:p>
    <w:p w14:paraId="36D3F414" w14:textId="77777777" w:rsidR="00193AE0" w:rsidRPr="00193AE0" w:rsidRDefault="00193AE0" w:rsidP="00193AE0">
      <w:pPr>
        <w:numPr>
          <w:ilvl w:val="0"/>
          <w:numId w:val="9"/>
        </w:numPr>
      </w:pPr>
      <w:r w:rsidRPr="00193AE0">
        <w:t>Direct embryological relevance: CDX2 normally suppressed in the stomach — its re-expression "reverts" cells to intestinal phenotype</w:t>
      </w:r>
    </w:p>
    <w:p w14:paraId="7C4779BB" w14:textId="77777777" w:rsidR="00193AE0" w:rsidRPr="00193AE0" w:rsidRDefault="00193AE0" w:rsidP="00193AE0">
      <w:r w:rsidRPr="00193AE0">
        <w:rPr>
          <w:b/>
          <w:bCs/>
        </w:rPr>
        <w:lastRenderedPageBreak/>
        <w:t>Ectopic Pancreatic Tissue (Heterotopia)</w:t>
      </w:r>
    </w:p>
    <w:p w14:paraId="5D15EC4C" w14:textId="77777777" w:rsidR="00193AE0" w:rsidRPr="00193AE0" w:rsidRDefault="00193AE0" w:rsidP="00193AE0">
      <w:pPr>
        <w:numPr>
          <w:ilvl w:val="0"/>
          <w:numId w:val="10"/>
        </w:numPr>
      </w:pPr>
      <w:r w:rsidRPr="00193AE0">
        <w:t xml:space="preserve">Pancreatic rest </w:t>
      </w:r>
      <w:proofErr w:type="gramStart"/>
      <w:r w:rsidRPr="00193AE0">
        <w:t>most commonly found</w:t>
      </w:r>
      <w:proofErr w:type="gramEnd"/>
      <w:r w:rsidRPr="00193AE0">
        <w:t xml:space="preserve"> in the stomach (antrum/pylorus), duodenum, or Meckel's diverticulum</w:t>
      </w:r>
    </w:p>
    <w:p w14:paraId="2D171912" w14:textId="77777777" w:rsidR="00193AE0" w:rsidRPr="00193AE0" w:rsidRDefault="00193AE0" w:rsidP="00193AE0">
      <w:pPr>
        <w:numPr>
          <w:ilvl w:val="0"/>
          <w:numId w:val="10"/>
        </w:numPr>
      </w:pPr>
      <w:r w:rsidRPr="00193AE0">
        <w:t>Results from misdirected differentiation of multipotent endodermal progenitors at the foregut-midgut junction</w:t>
      </w:r>
    </w:p>
    <w:p w14:paraId="6A298BDF" w14:textId="77777777" w:rsidR="00193AE0" w:rsidRPr="00193AE0" w:rsidRDefault="00193AE0" w:rsidP="00193AE0">
      <w:pPr>
        <w:numPr>
          <w:ilvl w:val="0"/>
          <w:numId w:val="10"/>
        </w:numPr>
      </w:pPr>
      <w:r w:rsidRPr="00193AE0">
        <w:t>Usually asymptomatic but can cause gastric outlet obstruction or bleeding</w:t>
      </w:r>
    </w:p>
    <w:p w14:paraId="1817286B" w14:textId="09BC596A" w:rsidR="00193AE0" w:rsidRPr="00193AE0" w:rsidRDefault="00193AE0" w:rsidP="00193AE0">
      <w:r w:rsidRPr="00193AE0">
        <w:t>[WARNING]</w:t>
      </w:r>
      <w:r w:rsidRPr="00193AE0">
        <w:t>Key Points to Remember</w:t>
      </w:r>
    </w:p>
    <w:p w14:paraId="4B76404D" w14:textId="77777777" w:rsidR="00193AE0" w:rsidRPr="00193AE0" w:rsidRDefault="00193AE0" w:rsidP="00193AE0">
      <w:pPr>
        <w:numPr>
          <w:ilvl w:val="0"/>
          <w:numId w:val="11"/>
        </w:numPr>
      </w:pPr>
      <w:r w:rsidRPr="00193AE0">
        <w:t xml:space="preserve">Differential growth (not rotation) most likely explains curvature formation — </w:t>
      </w:r>
      <w:r w:rsidRPr="00193AE0">
        <w:rPr>
          <w:b/>
          <w:bCs/>
        </w:rPr>
        <w:t>O'Rahilly &amp; Müller are likely correct</w:t>
      </w:r>
    </w:p>
    <w:p w14:paraId="128DA2FE" w14:textId="77777777" w:rsidR="00193AE0" w:rsidRPr="00193AE0" w:rsidRDefault="00193AE0" w:rsidP="00193AE0">
      <w:pPr>
        <w:numPr>
          <w:ilvl w:val="0"/>
          <w:numId w:val="11"/>
        </w:numPr>
      </w:pPr>
      <w:r w:rsidRPr="00193AE0">
        <w:t>Parietal cells appear before chief cells (~11 vs ~12 weeks) — functional order matters</w:t>
      </w:r>
    </w:p>
    <w:p w14:paraId="5EB295A8" w14:textId="77777777" w:rsidR="00193AE0" w:rsidRPr="00193AE0" w:rsidRDefault="00193AE0" w:rsidP="00193AE0">
      <w:pPr>
        <w:numPr>
          <w:ilvl w:val="0"/>
          <w:numId w:val="11"/>
        </w:numPr>
      </w:pPr>
      <w:r w:rsidRPr="00193AE0">
        <w:t xml:space="preserve">Left </w:t>
      </w:r>
      <w:proofErr w:type="spellStart"/>
      <w:r w:rsidRPr="00193AE0">
        <w:t>vagus</w:t>
      </w:r>
      <w:proofErr w:type="spellEnd"/>
      <w:r w:rsidRPr="00193AE0">
        <w:t xml:space="preserve"> = anterior (lesser curvature); Right </w:t>
      </w:r>
      <w:proofErr w:type="spellStart"/>
      <w:r w:rsidRPr="00193AE0">
        <w:t>vagus</w:t>
      </w:r>
      <w:proofErr w:type="spellEnd"/>
      <w:r w:rsidRPr="00193AE0">
        <w:t xml:space="preserve"> = posterior — a direct consequence of stomach repositioning</w:t>
      </w:r>
    </w:p>
    <w:p w14:paraId="04242E65" w14:textId="77777777" w:rsidR="00193AE0" w:rsidRPr="00193AE0" w:rsidRDefault="00193AE0" w:rsidP="00193AE0">
      <w:pPr>
        <w:numPr>
          <w:ilvl w:val="0"/>
          <w:numId w:val="11"/>
        </w:numPr>
      </w:pPr>
      <w:r w:rsidRPr="00193AE0">
        <w:t>SOX2 vs CDX2 balance determines gastric vs intestinal identity — clinically relevant in metaplasia</w:t>
      </w:r>
    </w:p>
    <w:p w14:paraId="7B147C6E" w14:textId="77777777" w:rsidR="00193AE0" w:rsidRPr="00193AE0" w:rsidRDefault="00193AE0" w:rsidP="00193AE0">
      <w:pPr>
        <w:numPr>
          <w:ilvl w:val="0"/>
          <w:numId w:val="11"/>
        </w:numPr>
      </w:pPr>
      <w:r w:rsidRPr="00193AE0">
        <w:t>BARX1 is the key mesenchymal factor that makes the stomach a stomach (not intestine)</w:t>
      </w:r>
    </w:p>
    <w:p w14:paraId="5BF67A73" w14:textId="77777777" w:rsidR="00193AE0" w:rsidRPr="00193AE0" w:rsidRDefault="00193AE0" w:rsidP="00193AE0">
      <w:pPr>
        <w:numPr>
          <w:ilvl w:val="0"/>
          <w:numId w:val="11"/>
        </w:numPr>
      </w:pPr>
      <w:r w:rsidRPr="00193AE0">
        <w:t>Pyloric stenosis pathogenesis now understood to involve NOS deficiency, not just mechanical hypertrophy</w:t>
      </w:r>
    </w:p>
    <w:p w14:paraId="2DFF23F2" w14:textId="77777777" w:rsidR="00D674B7" w:rsidRDefault="00D674B7"/>
    <w:sectPr w:rsidR="00D67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8E"/>
    <w:multiLevelType w:val="multilevel"/>
    <w:tmpl w:val="CAE8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67504"/>
    <w:multiLevelType w:val="multilevel"/>
    <w:tmpl w:val="B31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607CF"/>
    <w:multiLevelType w:val="multilevel"/>
    <w:tmpl w:val="5CF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87D4B"/>
    <w:multiLevelType w:val="multilevel"/>
    <w:tmpl w:val="E5CA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67868"/>
    <w:multiLevelType w:val="multilevel"/>
    <w:tmpl w:val="F58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B0862"/>
    <w:multiLevelType w:val="multilevel"/>
    <w:tmpl w:val="9B6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35C7F"/>
    <w:multiLevelType w:val="multilevel"/>
    <w:tmpl w:val="9FA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82A8A"/>
    <w:multiLevelType w:val="multilevel"/>
    <w:tmpl w:val="612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62479"/>
    <w:multiLevelType w:val="multilevel"/>
    <w:tmpl w:val="C71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C61F3"/>
    <w:multiLevelType w:val="multilevel"/>
    <w:tmpl w:val="FE8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355BC"/>
    <w:multiLevelType w:val="multilevel"/>
    <w:tmpl w:val="B1186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734141">
    <w:abstractNumId w:val="10"/>
  </w:num>
  <w:num w:numId="2" w16cid:durableId="964040249">
    <w:abstractNumId w:val="9"/>
  </w:num>
  <w:num w:numId="3" w16cid:durableId="1762986142">
    <w:abstractNumId w:val="4"/>
  </w:num>
  <w:num w:numId="4" w16cid:durableId="220596768">
    <w:abstractNumId w:val="5"/>
  </w:num>
  <w:num w:numId="5" w16cid:durableId="727191040">
    <w:abstractNumId w:val="1"/>
  </w:num>
  <w:num w:numId="6" w16cid:durableId="1355763538">
    <w:abstractNumId w:val="3"/>
  </w:num>
  <w:num w:numId="7" w16cid:durableId="386880395">
    <w:abstractNumId w:val="8"/>
  </w:num>
  <w:num w:numId="8" w16cid:durableId="1943295448">
    <w:abstractNumId w:val="2"/>
  </w:num>
  <w:num w:numId="9" w16cid:durableId="380247483">
    <w:abstractNumId w:val="0"/>
  </w:num>
  <w:num w:numId="10" w16cid:durableId="810975225">
    <w:abstractNumId w:val="7"/>
  </w:num>
  <w:num w:numId="11" w16cid:durableId="303200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E0"/>
    <w:rsid w:val="00107680"/>
    <w:rsid w:val="00193AE0"/>
    <w:rsid w:val="004C2BF6"/>
    <w:rsid w:val="005E08F3"/>
    <w:rsid w:val="00820B84"/>
    <w:rsid w:val="00D674B7"/>
    <w:rsid w:val="00E212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3B84"/>
  <w15:chartTrackingRefBased/>
  <w15:docId w15:val="{CD470BA3-7FB7-4F0D-817F-F74444A5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3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pPr>
      <w:spacing w:line="259" w:lineRule="auto"/>
    </w:pPr>
    <w:rPr>
      <w:b/>
      <w:color w:val="A02B93" w:themeColor="accent5"/>
      <w:kern w:val="0"/>
      <w:sz w:val="32"/>
      <w:szCs w:val="22"/>
      <w14:ligatures w14:val="none"/>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pPr>
      <w:spacing w:line="259" w:lineRule="auto"/>
    </w:pPr>
    <w:rPr>
      <w:rFonts w:ascii="Cambria" w:hAnsi="Cambria"/>
      <w:color w:val="EE0000"/>
      <w:kern w:val="0"/>
      <w:sz w:val="32"/>
      <w:szCs w:val="22"/>
      <w14:ligatures w14:val="none"/>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pPr>
      <w:spacing w:line="259" w:lineRule="auto"/>
    </w:pPr>
    <w:rPr>
      <w:rFonts w:ascii="Candara" w:hAnsi="Candara"/>
      <w:color w:val="E97132" w:themeColor="accent2"/>
      <w:kern w:val="0"/>
      <w:sz w:val="28"/>
      <w:szCs w:val="22"/>
      <w14:ligatures w14:val="none"/>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193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3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AE0"/>
    <w:rPr>
      <w:rFonts w:eastAsiaTheme="majorEastAsia" w:cstheme="majorBidi"/>
      <w:color w:val="272727" w:themeColor="text1" w:themeTint="D8"/>
    </w:rPr>
  </w:style>
  <w:style w:type="paragraph" w:styleId="Title">
    <w:name w:val="Title"/>
    <w:basedOn w:val="Normal"/>
    <w:next w:val="Normal"/>
    <w:link w:val="TitleChar"/>
    <w:uiPriority w:val="10"/>
    <w:qFormat/>
    <w:rsid w:val="00193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AE0"/>
    <w:pPr>
      <w:spacing w:before="160"/>
      <w:jc w:val="center"/>
    </w:pPr>
    <w:rPr>
      <w:i/>
      <w:iCs/>
      <w:color w:val="404040" w:themeColor="text1" w:themeTint="BF"/>
    </w:rPr>
  </w:style>
  <w:style w:type="character" w:customStyle="1" w:styleId="QuoteChar">
    <w:name w:val="Quote Char"/>
    <w:basedOn w:val="DefaultParagraphFont"/>
    <w:link w:val="Quote"/>
    <w:uiPriority w:val="29"/>
    <w:rsid w:val="00193AE0"/>
    <w:rPr>
      <w:i/>
      <w:iCs/>
      <w:color w:val="404040" w:themeColor="text1" w:themeTint="BF"/>
    </w:rPr>
  </w:style>
  <w:style w:type="paragraph" w:styleId="ListParagraph">
    <w:name w:val="List Paragraph"/>
    <w:basedOn w:val="Normal"/>
    <w:uiPriority w:val="34"/>
    <w:qFormat/>
    <w:rsid w:val="00193AE0"/>
    <w:pPr>
      <w:ind w:left="720"/>
      <w:contextualSpacing/>
    </w:pPr>
  </w:style>
  <w:style w:type="character" w:styleId="IntenseEmphasis">
    <w:name w:val="Intense Emphasis"/>
    <w:basedOn w:val="DefaultParagraphFont"/>
    <w:uiPriority w:val="21"/>
    <w:qFormat/>
    <w:rsid w:val="00193AE0"/>
    <w:rPr>
      <w:i/>
      <w:iCs/>
      <w:color w:val="0F4761" w:themeColor="accent1" w:themeShade="BF"/>
    </w:rPr>
  </w:style>
  <w:style w:type="paragraph" w:styleId="IntenseQuote">
    <w:name w:val="Intense Quote"/>
    <w:basedOn w:val="Normal"/>
    <w:next w:val="Normal"/>
    <w:link w:val="IntenseQuoteChar"/>
    <w:uiPriority w:val="30"/>
    <w:qFormat/>
    <w:rsid w:val="00193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AE0"/>
    <w:rPr>
      <w:i/>
      <w:iCs/>
      <w:color w:val="0F4761" w:themeColor="accent1" w:themeShade="BF"/>
    </w:rPr>
  </w:style>
  <w:style w:type="character" w:styleId="IntenseReference">
    <w:name w:val="Intense Reference"/>
    <w:basedOn w:val="DefaultParagraphFont"/>
    <w:uiPriority w:val="32"/>
    <w:qFormat/>
    <w:rsid w:val="00193AE0"/>
    <w:rPr>
      <w:b/>
      <w:bCs/>
      <w:smallCaps/>
      <w:color w:val="0F4761" w:themeColor="accent1" w:themeShade="BF"/>
      <w:spacing w:val="5"/>
    </w:rPr>
  </w:style>
  <w:style w:type="table" w:styleId="PlainTable1">
    <w:name w:val="Plain Table 1"/>
    <w:basedOn w:val="TableNormal"/>
    <w:uiPriority w:val="41"/>
    <w:rsid w:val="00193A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1041</Words>
  <Characters>5940</Characters>
  <Application>Microsoft Office Word</Application>
  <DocSecurity>0</DocSecurity>
  <Lines>49</Lines>
  <Paragraphs>13</Paragraphs>
  <ScaleCrop>false</ScaleCrop>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2026-03-11T17:28:00Z</dcterms:created>
  <dcterms:modified xsi:type="dcterms:W3CDTF">2026-03-11T17:34:00Z</dcterms:modified>
</cp:coreProperties>
</file>