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领导风格对企业绩效的影响：</w:t>
      </w:r>
    </w:p>
    <w:p>
      <w:pPr>
        <w:pStyle w:val="a6"/>
      </w:pPr>
      <w:r>
        <w:t xml:space="preserve">以领导授权和员工身份认同的链式中介</w:t>
      </w:r>
    </w:p>
    <w:p>
      <w:pPr>
        <w:pStyle w:val="Author"/>
      </w:pPr>
      <w:r>
        <w:t xml:space="preserve">author</w:t>
      </w:r>
    </w:p>
    <w:p>
      <w:pPr>
        <w:pStyle w:val="a7"/>
      </w:pPr>
      <w:r>
        <w:t xml:space="preserve">2024-07-27</w:t>
      </w:r>
    </w:p>
    <w:p>
      <w:pPr>
        <w:pStyle w:val="FirstParagraph"/>
      </w:pPr>
      <w:r>
        <w:t xml:space="preserve">Previous studies have indicated that parent–child relationship as well as learning motivation and academic self-efficacy is an influential factor of learning engagement, but the impact mechanism of the relevant factors needs to be explored. The purpose of the current study is to investigate how parent–child relationship is related to learning engagement via the mediating roles of learning motivation and academic self-efficacy. Structural equation modeling (SEM) was adopted for the analysis of 280 participants from China. Results showed that parent–child relationship was directly correlated with adolescents’ learning engagement. Results also showed that parent–child relationship indirectly predicted adolescents’ learning engagement via learning motivation and academic self-efficacy respectively and sequentially. More importantly, it was revealed that the direct effect was much lower than the total indirect effects which include the indirect effect of learning motivation, the indirect effect of academic self-efficacy, and the indirect effect of learning motivation and academic self-efficacy. Among the three indirect effects, the indirect effect of learning motivation and academic self-efficacy was the greatest. Major findings were discussed with implications and limitations in the study.</w:t>
      </w:r>
    </w:p>
    <w:bookmarkStart w:id="23" w:name="introduction"/>
    <w:p>
      <w:pPr>
        <w:pStyle w:val="1"/>
      </w:pPr>
      <w:r>
        <w:t xml:space="preserve">Introduction</w:t>
      </w:r>
    </w:p>
    <w:p>
      <w:pPr>
        <w:pStyle w:val="FirstParagraph"/>
      </w:pPr>
      <w:r>
        <w:t xml:space="preserve">Parent–child relationship is defined as a kind of unique and influential relationship established in the process of interaction between parents and their children, which is critical to adolescents’ physical and mental development</w:t>
      </w:r>
      <w:r>
        <w:t xml:space="preserve">(</w:t>
      </w:r>
      <w:hyperlink w:anchor="ref-Malczyk2017">
        <w:r>
          <w:rPr>
            <w:rStyle w:val="ae"/>
          </w:rPr>
          <w:t xml:space="preserve">Malczyk &amp; Lawson, 2017</w:t>
        </w:r>
      </w:hyperlink>
      <w:r>
        <w:t xml:space="preserve">)</w:t>
      </w:r>
      <w:r>
        <w:t xml:space="preserve">.</w:t>
      </w:r>
    </w:p>
    <w:p>
      <w:pPr>
        <w:pStyle w:val="a0"/>
      </w:pPr>
      <w:r>
        <w:t xml:space="preserve">Based on this theory, a theoretical model has been constructed to test the link between parent–child relationship and learning engagement, as well as the mediating roles of learning motivation and academic self-efficacy (shown in Figure</w:t>
      </w:r>
      <w:r>
        <w:t xml:space="preserve"> </w:t>
      </w:r>
      <w:hyperlink w:anchor="fig-hypothesis">
        <w:r xmlns:w14="http://schemas.microsoft.com/office/word/2010/wordml">
          <w:rPr/>
          <w:fldChar w:fldCharType="begin" w:dirty="true"/>
        </w:r>
        <w:r xmlns:w14="http://schemas.microsoft.com/office/word/2010/wordml">
          <w:rPr/>
          <w:instrText xml:space="preserve" w:dirty="true"> REF fig-hypothesis \h</w:instrText>
        </w:r>
        <w:r xmlns:w14="http://schemas.microsoft.com/office/word/2010/wordml">
          <w:rPr/>
          <w:fldChar w:fldCharType="end" w:dirty="true"/>
        </w:r>
      </w:hyperlink>
      <w:r>
        <w:t xml:space="preserve"> </w:t>
      </w:r>
      <w:r>
        <w:t xml:space="preserve">).</w:t>
      </w:r>
    </w:p>
    <w:p>
      <w:pPr>
        <w:jc w:val="center"/>
        <w:pStyle w:val="Figure"/>
      </w:pPr>
      <w:r>
        <w:rPr/>
        <w:drawing>
          <wp:inline distT="0" distB="0" distL="0" distR="0">
            <wp:extent cx="4572000" cy="2825496"/>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8"/>
                    <a:stretch>
                      <a:fillRect/>
                    </a:stretch>
                  </pic:blipFill>
                  <pic:spPr bwMode="auto">
                    <a:xfrm>
                      <a:off x="0" y="0"/>
                      <a:ext cx="63500" cy="39243"/>
                    </a:xfrm>
                    <a:prstGeom prst="rect">
                      <a:avLst/>
                    </a:prstGeom>
                    <a:noFill/>
                  </pic:spPr>
                </pic:pic>
              </a:graphicData>
            </a:graphic>
          </wp:inline>
        </w:drawing>
      </w:r>
    </w:p>
    <w:p>
      <w:pPr>
        <w:pStyle w:val="ImageCaption"/>
      </w:pPr>
      <w:r>
        <w:rPr>
          <w:rFonts/>
          <w:b w:val="true"/>
        </w:rPr>
        <w:t xml:space="preserve">Figure </w:t>
      </w:r>
      <w:bookmarkStart w:id="7f13a815-f7bf-48b7-9d1a-c5ecb3e82376" w:name="fig-hypothesi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f13a815-f7bf-48b7-9d1a-c5ecb3e82376"/>
      <w:r>
        <w:rPr>
          <w:rFonts/>
          <w:b w:val="true"/>
        </w:rPr>
        <w:t xml:space="preserve">: </w:t>
      </w:r>
      <w:r>
        <w:t xml:space="preserve">The proposed theoretical model.</w:t>
      </w:r>
    </w:p>
    <w:bookmarkStart w:id="20" w:name="Xe01b58f393d249469a181776b22889ce4605625"/>
    <w:p>
      <w:pPr>
        <w:pStyle w:val="2"/>
      </w:pPr>
      <w:r>
        <w:t xml:space="preserve">Parent–Child Relationship and Learning Engagement</w:t>
      </w:r>
    </w:p>
    <w:p>
      <w:pPr>
        <w:pStyle w:val="FirstParagraph"/>
      </w:pPr>
      <w:r>
        <w:t xml:space="preserve">Parent–child relationship plays a crucial role in adolescents’ emotional, cognitive, and behavioral development</w:t>
      </w:r>
      <w:r>
        <w:t xml:space="preserve">(</w:t>
      </w:r>
      <w:hyperlink w:anchor="ref-Chang2007">
        <w:r>
          <w:rPr>
            <w:rStyle w:val="ae"/>
          </w:rPr>
          <w:t xml:space="preserve">Chang, 2007</w:t>
        </w:r>
      </w:hyperlink>
      <w:r>
        <w:t xml:space="preserve">)</w:t>
      </w:r>
      <w:r>
        <w:t xml:space="preserve">.</w:t>
      </w:r>
    </w:p>
    <w:p>
      <w:pPr>
        <w:pStyle w:val="a0"/>
      </w:pPr>
      <w:r>
        <w:t xml:space="preserve">H1. Parent–child relationship is positively related to learning engagement.</w:t>
      </w:r>
    </w:p>
    <w:bookmarkEnd w:id="20"/>
    <w:bookmarkStart w:id="21" w:name="learning-motivation-as-a-mediator"/>
    <w:p>
      <w:pPr>
        <w:pStyle w:val="2"/>
      </w:pPr>
      <w:r>
        <w:t xml:space="preserve">Learning Motivation as a Mediator</w:t>
      </w:r>
    </w:p>
    <w:p>
      <w:pPr>
        <w:pStyle w:val="FirstParagraph"/>
      </w:pPr>
      <w:r>
        <w:t xml:space="preserve">Learning motivation is a complex overarching concept, which is influenced by a set of psychosocial factors both internal and external (presented in the learner’s social and natural environment) to the learner.</w:t>
      </w:r>
    </w:p>
    <w:p>
      <w:pPr>
        <w:pStyle w:val="a0"/>
      </w:pPr>
      <w:r>
        <w:t xml:space="preserve">H2: Parent–child relationship is positively related to learning motivation.</w:t>
      </w:r>
    </w:p>
    <w:p>
      <w:pPr>
        <w:pStyle w:val="a0"/>
      </w:pPr>
      <w:r>
        <w:t xml:space="preserve">H3: Learning motivation is positively related to learning engagement.</w:t>
      </w:r>
    </w:p>
    <w:p>
      <w:pPr>
        <w:pStyle w:val="a0"/>
      </w:pPr>
      <w:r>
        <w:t xml:space="preserve">H4: Learning motivation may play a mediating role in the link between parent–child relationship and learning engagement.</w:t>
      </w:r>
    </w:p>
    <w:bookmarkEnd w:id="21"/>
    <w:bookmarkStart w:id="22" w:name="academic-self-efficacy-as-a-mediator"/>
    <w:p>
      <w:pPr>
        <w:pStyle w:val="2"/>
      </w:pPr>
      <w:r>
        <w:t xml:space="preserve">Academic Self-Efficacy as a Mediator</w:t>
      </w:r>
    </w:p>
    <w:p>
      <w:pPr>
        <w:pStyle w:val="FirstParagraph"/>
      </w:pPr>
      <w:r>
        <w:t xml:space="preserve">Self-efficacy (SE) is defined as</w:t>
      </w:r>
      <w:r>
        <w:t xml:space="preserve"> </w:t>
      </w:r>
      <w:r>
        <w:t xml:space="preserve">“</w:t>
      </w:r>
      <w:r>
        <w:t xml:space="preserve">an individual belief in one’s capabilities to organize and execute the courses of action required in producing given attainments</w:t>
      </w:r>
      <w:r>
        <w:t xml:space="preserve">”</w:t>
      </w:r>
    </w:p>
    <w:p>
      <w:pPr>
        <w:pStyle w:val="a0"/>
      </w:pPr>
      <w:r>
        <w:t xml:space="preserve">H5: Parent–child relationship is positively related to academic self-efficacy.</w:t>
      </w:r>
    </w:p>
    <w:p>
      <w:pPr>
        <w:pStyle w:val="a0"/>
      </w:pPr>
      <w:r>
        <w:t xml:space="preserve">H6: Learning motivation is positively related to academic self-efficacy.</w:t>
      </w:r>
    </w:p>
    <w:p>
      <w:pPr>
        <w:pStyle w:val="a0"/>
      </w:pPr>
      <w:r>
        <w:t xml:space="preserve">H7: Academic self-efficacy is positively related to learning engagement.</w:t>
      </w:r>
    </w:p>
    <w:p>
      <w:pPr>
        <w:pStyle w:val="a0"/>
      </w:pPr>
      <w:r>
        <w:t xml:space="preserve">H8: Academic self-efficacy plays a mediating role in the link between parent–child relationship and learning engagement.</w:t>
      </w:r>
    </w:p>
    <w:p>
      <w:pPr>
        <w:pStyle w:val="a0"/>
      </w:pPr>
      <w:r>
        <w:t xml:space="preserve">H9: Learning motivation and academic self-efficacy play a chain mediating role in the link between parent–child relationship and learning engagement.</w:t>
      </w:r>
    </w:p>
    <w:bookmarkEnd w:id="22"/>
    <w:bookmarkEnd w:id="23"/>
    <w:bookmarkStart w:id="27" w:name="materials-and-methods"/>
    <w:p>
      <w:pPr>
        <w:pStyle w:val="1"/>
      </w:pPr>
      <w:r>
        <w:t xml:space="preserve">MATERIALS AND METHODS</w:t>
      </w:r>
    </w:p>
    <w:bookmarkStart w:id="24" w:name="sampling-and-data-collection"/>
    <w:p>
      <w:pPr>
        <w:pStyle w:val="2"/>
      </w:pPr>
      <w:r>
        <w:t xml:space="preserve">Sampling and Data Collection</w:t>
      </w:r>
    </w:p>
    <w:p>
      <w:pPr>
        <w:pStyle w:val="FirstParagraph"/>
      </w:pPr>
      <w:r>
        <w:t xml:space="preserve">This is primarily quantitative research with survey as the main research strategy. Questionnaire was used as a data collection instrument or tool. The analysis of this research was based on correlation, regression and structural equation modeling (SEM) technique. To test the mediating role of organizational readiness, Preacher and Hayes’s (2004, 2008) approach was utilized with 5000 bootstrap.</w:t>
      </w:r>
    </w:p>
    <w:bookmarkEnd w:id="24"/>
    <w:bookmarkStart w:id="25" w:name="questionnaire-design"/>
    <w:p>
      <w:pPr>
        <w:pStyle w:val="2"/>
      </w:pPr>
      <w:r>
        <w:t xml:space="preserve">Questionnaire Design</w:t>
      </w:r>
    </w:p>
    <w:p>
      <w:pPr>
        <w:pStyle w:val="FirstParagraph"/>
      </w:pPr>
      <w:r>
        <w:t xml:space="preserve">The questionnaire was designed based on previous instruments with acceptable reliability and validity. It consisted of two main sections. The first section intended to measure the demographic characteristics of the respondents, including gender, grade, and place of residence in Table</w:t>
      </w:r>
      <w:r>
        <w:t xml:space="preserve"> </w:t>
      </w:r>
      <w:hyperlink w:anchor="tab1">
        <w:r xmlns:w14="http://schemas.microsoft.com/office/word/2010/wordml">
          <w:rPr/>
          <w:fldChar w:fldCharType="begin" w:dirty="true"/>
        </w:r>
        <w:r xmlns:w14="http://schemas.microsoft.com/office/word/2010/wordml">
          <w:rPr/>
          <w:instrText xml:space="preserve" w:dirty="true"> REF tab1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Table </w:t>
      </w:r>
      <w:bookmarkStart w:id="ba0b2f10-59b2-4c4d-a7bc-74724730590e" w:name="tab1"/>
      <w:r>
        <w:rPr>
          <w:rFonts/>
          <w:b w:val="true"/>
        </w:rPr>
        <w:fldChar w:fldCharType="begin" w:dirty="true"/>
      </w:r>
      <w:r>
        <w:rPr>
          <w:rFonts/>
          <w:b w:val="true"/>
        </w:rPr>
        <w:instrText xml:space="preserve" w:dirty="true">SEQ tab \* Arabic</w:instrText>
      </w:r>
      <w:r>
        <w:rPr>
          <w:rFonts/>
          <w:b w:val="true"/>
        </w:rPr>
        <w:fldChar w:fldCharType="end" w:dirty="true"/>
      </w:r>
      <w:bookmarkEnd w:id="ba0b2f10-59b2-4c4d-a7bc-74724730590e"/>
      <w:r>
        <w:rPr>
          <w:rFonts/>
          <w:b w:val="true"/>
        </w:rPr>
        <w:t xml:space="preserve">: </w:t>
      </w:r>
      <w:r>
        <w:t xml:space="preserve">Latent variables and items</w:t>
      </w:r>
    </w:p>
    <w:tbl xmlns:w14="http://schemas.microsoft.com/office/word/2010/wordml">
      <w:tblPr>
        <w:tblLayout w:type="fixed"/>
        <w:jc w:val="center"/>
        <w:tblLook w:firstRow="1" w:lastRow="0" w:firstColumn="0" w:lastColumn="0" w:noHBand="0" w:noVBand="1"/>
      </w:tblPr>
      <w:tblGrid>
        <w:gridCol w:w="2160"/>
        <w:gridCol w:w="1440"/>
        <w:gridCol w:w="5760"/>
      </w:tblGrid>
      <w:tr>
        <w:trPr>
          <w:trHeight w:val="57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Latent 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Measurement items</w:t>
            </w:r>
          </w:p>
        </w:tc>
      </w:tr>
      <w:tr>
        <w:trPr>
          <w:trHeight w:val="62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Leadership Style (style)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easily express my true feelings to my parents</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My parents are willing to listen to my ideas attentively</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am satisfied with the way I communicate with my parents</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If I encounter difficulties, I tell my parents about them</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When I ask my parents questions, they always reply truthfully</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My parents always try to understand me</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Leadership Empowerment (emp)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Most of the new subjects are interesting, so I often spend the extracurricular time on them, hoping to get more knowledge</w:t>
            </w:r>
          </w:p>
        </w:tc>
      </w:tr>
      <w:tr>
        <w:trPr>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find that I often obtain a sense of satisfaction from learning</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have to work hard enough on a problem to reach a satisfactory conclusion</w:t>
            </w:r>
          </w:p>
        </w:tc>
      </w:tr>
      <w:tr>
        <w:trPr>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am determined to keep reading reference books about classroom learning</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something another</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dentity Recognition (iden)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believe that I can achieve good grades</w:t>
            </w:r>
          </w:p>
        </w:tc>
      </w:tr>
      <w:tr>
        <w:trPr>
          <w:trHeight w:val="62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Compared with the other students in the class, I have a stronger ability in learning</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can apply what I learn to practice</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can well understand the knowledge in the book and the content that teachers instruct</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like to choose the challenging learning tasks</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Work Performance (perf)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When I get up in the morning, I want to study</w:t>
            </w:r>
          </w:p>
        </w:tc>
      </w:tr>
      <w:tr>
        <w:trPr>
          <w:trHeight w:val="61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feel that I have a clear learning goal and learning is meaningful</w:t>
            </w:r>
          </w:p>
        </w:tc>
      </w:tr>
      <w:tr>
        <w:trPr>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 am passionate about learning</w:t>
            </w:r>
          </w:p>
        </w:tc>
      </w:tr>
      <w:tr>
        <w:trPr>
          <w:trHeight w:val="61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When I study, I feel time flying</w:t>
            </w:r>
          </w:p>
        </w:tc>
      </w:tr>
      <w:tr>
        <w:trPr>
          <w:trHeight w:val="618"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something another</w:t>
            </w:r>
          </w:p>
        </w:tc>
      </w:tr>
    </w:tbl>
    <w:bookmarkEnd w:id="25"/>
    <w:bookmarkStart w:id="26" w:name="statistical-analysis"/>
    <w:p>
      <w:pPr>
        <w:pStyle w:val="2"/>
      </w:pPr>
      <w:r>
        <w:t xml:space="preserve">Statistical Analysis</w:t>
      </w:r>
    </w:p>
    <w:p>
      <w:pPr>
        <w:pStyle w:val="FirstParagraph"/>
      </w:pPr>
      <w:r>
        <w:t xml:space="preserve">The data were analyzed with structural equation modeling (SEM) in SPSS 24.0 and Amos 24.0. First, confirmatory factor analysis (CFA) was performed to measure the model fit of each construct. Second, the reliability and validity of each scale were tested by providing the values of standardized factor load, CR, and AVE. Third, the multiple path coefficients were analyzed to confirm the hypotheses. Fourth, the method of maximum likelihood estimation was adopted to test the structural model. Fifth, the bootstrap method was used to examine the indirect effect of parent–child relationship on learning engagement.</w:t>
      </w:r>
    </w:p>
    <w:bookmarkEnd w:id="26"/>
    <w:bookmarkEnd w:id="27"/>
    <w:bookmarkStart w:id="32" w:name="results"/>
    <w:p>
      <w:pPr>
        <w:pStyle w:val="1"/>
      </w:pPr>
      <w:r>
        <w:t xml:space="preserve">Results</w:t>
      </w:r>
    </w:p>
    <w:bookmarkStart w:id="28" w:name="confirmatory-factor-analysis"/>
    <w:p>
      <w:pPr>
        <w:pStyle w:val="2"/>
      </w:pPr>
      <w:r>
        <w:t xml:space="preserve">Confirmatory Factor Analysis</w:t>
      </w:r>
    </w:p>
    <w:p>
      <w:pPr>
        <w:pStyle w:val="FirstParagraph"/>
      </w:pPr>
      <w:r>
        <w:t xml:space="preserve">The results supported that validity and reliability of the scales is not an issue. Both convergent and discriminant validity shows scales were valid. Results of convergent validity were satisfactory, i.e. factor as loading &gt;0.70 and AVE &gt; 0.50. Discriminant validity was also confirmed as AVE was greater than shared variance constructs with every other constructs. CR was &gt;0.60, and α (Cronbach’s alpha) was &gt;0.70.</w:t>
      </w:r>
    </w:p>
    <w:tbl xmlns:w14="http://schemas.microsoft.com/office/word/2010/wordml">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Model</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χ</w:t>
            </w:r>
            <w:r>
              <w:rPr>
                <w:rFonts w:ascii="Times New Roman" w:hAnsi="Times New Roman" w:eastAsia="Times New Roman" w:cs="Times New Roman"/>
                <w:i w:val="false"/>
                <w:b w:val="false"/>
                <w:u w:val="none"/>
                <w:vertAlign w:val="superscript"/>
                <w:sz w:val="18"/>
                <w:szCs w:val="18"/>
                <w:color w:val="000000"/>
              </w:rPr>
              <w:t xml:space="preserve">2</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true"/>
                <w:b w:val="false"/>
                <w:u w:val="none"/>
                <w:sz w:val="18"/>
                <w:szCs w:val="18"/>
                <w:color w:val="000000"/>
              </w:rPr>
              <w:t xml:space="preserve">df</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χ</w:t>
            </w:r>
            <w:r>
              <w:rPr>
                <w:rFonts w:ascii="Times New Roman" w:hAnsi="Times New Roman" w:eastAsia="Times New Roman" w:cs="Times New Roman"/>
                <w:i w:val="false"/>
                <w:b w:val="false"/>
                <w:u w:val="none"/>
                <w:vertAlign w:val="superscript"/>
                <w:sz w:val="18"/>
                <w:szCs w:val="18"/>
                <w:color w:val="000000"/>
              </w:rPr>
              <w:t xml:space="preserve">2</w:t>
            </w:r>
            <w:r>
              <w:rPr>
                <w:rFonts w:ascii="Times New Roman" w:hAnsi="Times New Roman" w:eastAsia="Times New Roman" w:cs="Times New Roman"/>
                <w:i w:val="false"/>
                <w:b w:val="false"/>
                <w:u w:val="none"/>
                <w:sz w:val="18"/>
                <w:szCs w:val="18"/>
                <w:color w:val="000000"/>
              </w:rPr>
              <w:t xml:space="preserve">∕</w:t>
            </w:r>
            <w:r>
              <w:rPr>
                <w:rFonts w:ascii="Times New Roman" w:hAnsi="Times New Roman" w:eastAsia="Times New Roman" w:cs="Times New Roman"/>
                <w:i w:val="true"/>
                <w:b w:val="false"/>
                <w:u w:val="none"/>
                <w:sz w:val="18"/>
                <w:szCs w:val="18"/>
                <w:color w:val="000000"/>
              </w:rPr>
              <w:t xml:space="preserve">df</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true"/>
                <w:b w:val="false"/>
                <w:u w:val="none"/>
                <w:sz w:val="18"/>
                <w:szCs w:val="18"/>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CFI</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TLI</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RMSEA [90% CI]</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SRMR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AIC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BIC</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m_style</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1.75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.120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.99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.99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.04 [.00, .08]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8,066.62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8,108.76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m_emp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.00 [.00,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8,096.25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8,138.39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m_iden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.00 [.00,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8,072.99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8,115.13</w:t>
            </w:r>
          </w:p>
        </w:tc>
      </w:tr>
      <w:tr>
        <w:trPr>
          <w:trHeight w:val="360" w:hRule="auto"/>
        </w:trPr>
        body4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m_perf</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4.16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0.83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.527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.00 [.00, .06]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7,946.03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7,988.18</w:t>
            </w:r>
          </w:p>
        </w:tc>
      </w:tr>
      <w:tr>
        <w:trPr>
          <w:trHeight w:val="360" w:hRule="auto"/>
        </w:trPr>
        footer1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Common guidelines</w:t>
            </w:r>
            <w:r>
              <w:rPr>
                <w:rFonts w:ascii="Times New Roman" w:hAnsi="Times New Roman" w:eastAsia="Times New Roman" w:cs="Times New Roman"/>
                <w:i w:val="false"/>
                <w:b w:val="true"/>
                <w:u w:val="none"/>
                <w:vertAlign w:val="superscript"/>
                <w:sz w:val="18"/>
                <w:szCs w:val="18"/>
                <w:color w:val="000000"/>
              </w:rPr>
              <w:t xml:space="preserve">a</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&lt; 2 or 3</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&gt; .05</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 .95</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 .95</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&lt; .05 [.00, .08]</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 .08</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Smaller</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Smaller</w:t>
            </w:r>
          </w:p>
        </w:tc>
      </w:tr>
      <w:tr>
        <w:trPr>
          <w:trHeight w:val="360" w:hRule="auto"/>
        </w:trPr>
        footer2
        <w:tc>
          <w:tcPr>
            <w:gridSpan w:val="11"/>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vertAlign w:val="superscript"/>
                <w:sz w:val="18"/>
                <w:szCs w:val="18"/>
                <w:color w:val="000000"/>
              </w:rPr>
              <w:t xml:space="preserve">a</w:t>
            </w:r>
            <w:r>
              <w:rPr>
                <w:rFonts w:ascii="Times New Roman" w:hAnsi="Times New Roman" w:eastAsia="Times New Roman" w:cs="Times New Roman"/>
                <w:i w:val="false"/>
                <w:b w:val="false"/>
                <w:u w:val="none"/>
                <w:sz w:val="18"/>
                <w:szCs w:val="18"/>
                <w:color w:val="000000"/>
              </w:rPr>
              <w:t xml:space="preserve">Based on Schreiber (2017), Table 3.</w:t>
            </w:r>
          </w:p>
        </w:tc>
      </w:tr>
    </w:tbl>
    <w:bookmarkEnd w:id="28"/>
    <w:bookmarkStart w:id="29" w:name="measurement-model"/>
    <w:p>
      <w:pPr>
        <w:pStyle w:val="2"/>
      </w:pPr>
      <w:r>
        <w:t xml:space="preserve">Measurement Model</w:t>
      </w:r>
    </w:p>
    <w:p>
      <w:pPr>
        <w:pStyle w:val="FirstParagraph"/>
      </w:pPr>
      <w:r>
        <w:t xml:space="preserve">The measurement model was assessed by testing its reliability and validity. The value of Cronbach’s α ranges from 0.80 to 0.89, indicating that the model has good reliability. Results are presented in Table</w:t>
      </w:r>
      <w:r>
        <w:t xml:space="preserve"> </w:t>
      </w:r>
      <w:hyperlink w:anchor="tab2">
        <w:r xmlns:w14="http://schemas.microsoft.com/office/word/2010/wordml">
          <w:rPr/>
          <w:fldChar w:fldCharType="begin" w:dirty="true"/>
        </w:r>
        <w:r xmlns:w14="http://schemas.microsoft.com/office/word/2010/wordml">
          <w:rPr/>
          <w:instrText xml:space="preserve" w:dirty="true"> REF tab2 \h</w:instrText>
        </w:r>
        <w:r xmlns:w14="http://schemas.microsoft.com/office/word/2010/wordml">
          <w:rPr/>
          <w:fldChar w:fldCharType="end" w:dirty="true"/>
        </w:r>
      </w:hyperlink>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75c1b8c3-5447-4621-82e6-bdcdbf7df54b" w:name="tab2"/>
      <w:r>
        <w:rPr>
          <w:rFonts/>
          <w:b w:val="true"/>
        </w:rPr>
        <w:fldChar w:fldCharType="begin" w:dirty="true"/>
      </w:r>
      <w:r>
        <w:rPr>
          <w:rFonts/>
          <w:b w:val="true"/>
        </w:rPr>
        <w:instrText xml:space="preserve" w:dirty="true">SEQ tab \* Arabic</w:instrText>
      </w:r>
      <w:r>
        <w:rPr>
          <w:rFonts/>
          <w:b w:val="true"/>
        </w:rPr>
        <w:fldChar w:fldCharType="end" w:dirty="true"/>
      </w:r>
      <w:bookmarkEnd w:id="75c1b8c3-5447-4621-82e6-bdcdbf7df54b"/>
      <w:r>
        <w:rPr>
          <w:rFonts/>
          <w:b w:val="true"/>
        </w:rPr>
        <w:t xml:space="preserve">: </w:t>
      </w:r>
      <w:r>
        <w:t xml:space="preserve">Reliability and validity examination.</w:t>
      </w:r>
    </w:p>
    <w:tbl xmlns:w14="http://schemas.microsoft.com/office/word/2010/wordml">
      <w:tblPr>
        <w:tblLayout w:type="fixed"/>
        <w:jc w:val="center"/>
        <w:tblLook w:firstRow="1" w:lastRow="0" w:firstColumn="0" w:lastColumn="0" w:noHBand="0" w:noVBand="1"/>
      </w:tblPr>
      <w:tblGrid>
        <w:gridCol w:w="863"/>
        <w:gridCol w:w="985"/>
        <w:gridCol w:w="961"/>
        <w:gridCol w:w="961"/>
        <w:gridCol w:w="1084"/>
        <w:gridCol w:w="1059"/>
        <w:gridCol w:w="985"/>
        <w:gridCol w:w="961"/>
        <w:gridCol w:w="961"/>
        <w:gridCol w:w="961"/>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lhs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rhs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std.all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alpha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AVE</w:t>
            </w:r>
          </w:p>
        </w:tc>
      </w:tr>
      <w:tr>
        <w:trPr>
          <w:trHeight w:val="616"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0.645</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0.776</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0.777</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0.411</w:t>
            </w:r>
          </w:p>
        </w:tc>
      </w:tr>
      <w:tr>
        <w:trPr>
          <w:trHeight w:val="616"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0.672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16"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0.613</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16"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0.616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16"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0.656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1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0.667</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0.768</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0.768</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0.399</w:t>
            </w:r>
          </w:p>
        </w:tc>
      </w:tr>
      <w:tr>
        <w:trPr>
          <w:trHeight w:val="611"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0.642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11"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0.638</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11"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0.602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08"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0.609</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573"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0.621</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0.775</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0.775</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0.408</w:t>
            </w:r>
          </w:p>
        </w:tc>
      </w:tr>
      <w:tr>
        <w:trPr>
          <w:trHeight w:val="573"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0.621</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573"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0.619</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573"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0.677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573"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0.654</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17"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0.702</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0.805</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0.804</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0.453</w:t>
            </w:r>
          </w:p>
        </w:tc>
      </w:tr>
      <w:tr>
        <w:trPr>
          <w:trHeight w:val="617"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0.620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17"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0.715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17"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0.625</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17" w:hRule="auto"/>
        </w:trPr>
        body20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0.993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13.204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0.697</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p>
      <w:pPr>
        <w:pStyle w:val="a0"/>
      </w:pPr>
      <w:r>
        <w:t xml:space="preserve">As shown in Table 3, the values of Cronbach’s α ranged from 0.837 to 0.883. The values of the factor loadings were between 0.603 and 0.897. The CR and AVE values of each latent construct in Table</w:t>
      </w:r>
      <w:r>
        <w:t xml:space="preserve"> </w:t>
      </w:r>
      <w:hyperlink w:anchor="tab3">
        <w:r xmlns:w14="http://schemas.microsoft.com/office/word/2010/wordml">
          <w:rPr/>
          <w:fldChar w:fldCharType="begin" w:dirty="true"/>
        </w:r>
        <w:r xmlns:w14="http://schemas.microsoft.com/office/word/2010/wordml">
          <w:rPr/>
          <w:instrText xml:space="preserve" w:dirty="true"> REF tab3 \h</w:instrText>
        </w:r>
        <w:r xmlns:w14="http://schemas.microsoft.com/office/word/2010/wordml">
          <w:rPr/>
          <w:fldChar w:fldCharType="end" w:dirty="true"/>
        </w:r>
      </w:hyperlink>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ce680a69-1a58-4677-a244-a03a5aa549b6" w:name="tab3"/>
      <w:r>
        <w:rPr>
          <w:rFonts/>
          <w:b w:val="true"/>
        </w:rPr>
        <w:fldChar w:fldCharType="begin" w:dirty="true"/>
      </w:r>
      <w:r>
        <w:rPr>
          <w:rFonts/>
          <w:b w:val="true"/>
        </w:rPr>
        <w:instrText xml:space="preserve" w:dirty="true">SEQ tab \* Arabic</w:instrText>
      </w:r>
      <w:r>
        <w:rPr>
          <w:rFonts/>
          <w:b w:val="true"/>
        </w:rPr>
        <w:fldChar w:fldCharType="end" w:dirty="true"/>
      </w:r>
      <w:bookmarkEnd w:id="ce680a69-1a58-4677-a244-a03a5aa549b6"/>
      <w:r>
        <w:rPr>
          <w:rFonts/>
          <w:b w:val="true"/>
        </w:rPr>
        <w:t xml:space="preserve">: </w:t>
      </w:r>
      <w:r>
        <w:t xml:space="preserve">The discriminate validity test of latent variables.</w:t>
      </w:r>
    </w:p>
    <w:tbl xmlns:w14="http://schemas.microsoft.com/office/word/2010/wordml">
      <w:tblPr>
        <w:tblLayout w:type="fixed"/>
        <w:jc w:val="center"/>
        <w:tblLook w:firstRow="1" w:lastRow="0" w:firstColumn="0" w:lastColumn="0" w:noHBand="0" w:noVBand="1"/>
      </w:tblPr>
      <w:tblGrid>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perf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0.433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0.454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0.673</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The square root of the AVE of four latent constructs is given in the diagonal, and the correlation coefficient is given on the below diagonal. The bold values represent the square root of AVE.</w:t>
            </w:r>
          </w:p>
        </w:tc>
      </w:tr>
    </w:tbl>
    <w:bookmarkEnd w:id="29"/>
    <w:bookmarkStart w:id="30" w:name="structural-model"/>
    <w:p>
      <w:pPr>
        <w:pStyle w:val="2"/>
      </w:pPr>
      <w:r>
        <w:t xml:space="preserve">Structural Model</w:t>
      </w:r>
    </w:p>
    <w:p>
      <w:pPr>
        <w:pStyle w:val="FirstParagraph"/>
      </w:pPr>
      <w:r>
        <w:t xml:space="preserve">In the study, the method of maximum likelihood estimation was used to assess the structural model with Amos 24.0. Zhang et al. (2020) have demonstrated a good-fitting structural model needs to meet the following conditions. Results are presented in Table</w:t>
      </w:r>
      <w:r>
        <w:t xml:space="preserve"> </w:t>
      </w:r>
      <w:hyperlink w:anchor="tab4">
        <w:r xmlns:w14="http://schemas.microsoft.com/office/word/2010/wordml">
          <w:rPr/>
          <w:fldChar w:fldCharType="begin" w:dirty="true"/>
        </w:r>
        <w:r xmlns:w14="http://schemas.microsoft.com/office/word/2010/wordml">
          <w:rPr/>
          <w:instrText xml:space="preserve" w:dirty="true"> REF tab4 \h</w:instrText>
        </w:r>
        <w:r xmlns:w14="http://schemas.microsoft.com/office/word/2010/wordml">
          <w:rPr/>
          <w:fldChar w:fldCharType="end" w:dirty="true"/>
        </w:r>
      </w:hyperlink>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dcf3c71a-8976-405a-8a54-a76d44d3c2cf" w:name="tab4"/>
      <w:r>
        <w:rPr>
          <w:rFonts/>
          <w:b w:val="true"/>
        </w:rPr>
        <w:fldChar w:fldCharType="begin" w:dirty="true"/>
      </w:r>
      <w:r>
        <w:rPr>
          <w:rFonts/>
          <w:b w:val="true"/>
        </w:rPr>
        <w:instrText xml:space="preserve" w:dirty="true">SEQ tab \* Arabic</w:instrText>
      </w:r>
      <w:r>
        <w:rPr>
          <w:rFonts/>
          <w:b w:val="true"/>
        </w:rPr>
        <w:fldChar w:fldCharType="end" w:dirty="true"/>
      </w:r>
      <w:bookmarkEnd w:id="dcf3c71a-8976-405a-8a54-a76d44d3c2cf"/>
      <w:r>
        <w:rPr>
          <w:rFonts/>
          <w:b w:val="true"/>
        </w:rPr>
        <w:t xml:space="preserve">: </w:t>
      </w:r>
      <w:r>
        <w:t xml:space="preserve">Goodness of fit index of the structural model.</w:t>
      </w:r>
    </w:p>
    <w:tbl xmlns:w14="http://schemas.microsoft.com/office/word/2010/wordml">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Model</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χ</w:t>
            </w:r>
            <w:r>
              <w:rPr>
                <w:rFonts w:ascii="Times New Roman" w:hAnsi="Times New Roman" w:eastAsia="Times New Roman" w:cs="Times New Roman"/>
                <w:i w:val="false"/>
                <w:b w:val="false"/>
                <w:u w:val="none"/>
                <w:vertAlign w:val="superscript"/>
                <w:sz w:val="18"/>
                <w:szCs w:val="18"/>
                <w:color w:val="000000"/>
              </w:rPr>
              <w:t xml:space="preserve">2</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true"/>
                <w:b w:val="false"/>
                <w:u w:val="none"/>
                <w:sz w:val="18"/>
                <w:szCs w:val="18"/>
                <w:color w:val="000000"/>
              </w:rPr>
              <w:t xml:space="preserve">df</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χ</w:t>
            </w:r>
            <w:r>
              <w:rPr>
                <w:rFonts w:ascii="Times New Roman" w:hAnsi="Times New Roman" w:eastAsia="Times New Roman" w:cs="Times New Roman"/>
                <w:i w:val="false"/>
                <w:b w:val="false"/>
                <w:u w:val="none"/>
                <w:vertAlign w:val="superscript"/>
                <w:sz w:val="18"/>
                <w:szCs w:val="18"/>
                <w:color w:val="000000"/>
              </w:rPr>
              <w:t xml:space="preserve">2</w:t>
            </w:r>
            <w:r>
              <w:rPr>
                <w:rFonts w:ascii="Times New Roman" w:hAnsi="Times New Roman" w:eastAsia="Times New Roman" w:cs="Times New Roman"/>
                <w:i w:val="false"/>
                <w:b w:val="false"/>
                <w:u w:val="none"/>
                <w:sz w:val="18"/>
                <w:szCs w:val="18"/>
                <w:color w:val="000000"/>
              </w:rPr>
              <w:t xml:space="preserve">∕</w:t>
            </w:r>
            <w:r>
              <w:rPr>
                <w:rFonts w:ascii="Times New Roman" w:hAnsi="Times New Roman" w:eastAsia="Times New Roman" w:cs="Times New Roman"/>
                <w:i w:val="true"/>
                <w:b w:val="false"/>
                <w:u w:val="none"/>
                <w:sz w:val="18"/>
                <w:szCs w:val="18"/>
                <w:color w:val="000000"/>
              </w:rPr>
              <w:t xml:space="preserve">df</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true"/>
                <w:b w:val="false"/>
                <w:u w:val="none"/>
                <w:sz w:val="18"/>
                <w:szCs w:val="18"/>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CFI</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TLI</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RMSEA [90% CI]</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SRMR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AIC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BIC</w:t>
            </w:r>
          </w:p>
        </w:tc>
      </w:tr>
      <w:tr>
        <w:trPr>
          <w:trHeight w:val="360" w:hRule="auto"/>
        </w:trPr>
        body1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Model 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200.64</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164</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1.22</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.027</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.99</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.98</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.02 [.01, .03]</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.01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31,967.39</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w:rPr>
                <w:rFonts w:ascii="Times New Roman" w:hAnsi="Times New Roman" w:eastAsia="Times New Roman" w:cs="Times New Roman"/>
                <w:i w:val="false"/>
                <w:b w:val="false"/>
                <w:u w:val="none"/>
                <w:sz w:val="18"/>
                <w:szCs w:val="18"/>
                <w:color w:val="000000"/>
              </w:rPr>
              <w:t xml:space="preserve">32,161.26</w:t>
            </w:r>
          </w:p>
        </w:tc>
      </w:tr>
      <w:tr>
        <w:trPr>
          <w:trHeight w:val="360" w:hRule="auto"/>
        </w:trPr>
        footer1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Common guidelines</w:t>
            </w:r>
            <w:r>
              <w:rPr>
                <w:rFonts w:ascii="Times New Roman" w:hAnsi="Times New Roman" w:eastAsia="Times New Roman" w:cs="Times New Roman"/>
                <w:i w:val="false"/>
                <w:b w:val="true"/>
                <w:u w:val="none"/>
                <w:vertAlign w:val="superscript"/>
                <w:sz w:val="18"/>
                <w:szCs w:val="18"/>
                <w:color w:val="000000"/>
              </w:rPr>
              <w:t xml:space="preserve">a</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&lt; 2 or 3</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&gt; .05</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 .95</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 .95</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&lt; .05 [.00, .08]</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 .08</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Smaller</w:t>
            </w:r>
          </w:p>
        </w:tc>
        <w:tc>
          <w:tcPr>
            <w:tcBorders>
              <w:bottom w:val="single" w:sz="4" w:space="0" w:color="000000"/>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8"/>
                <w:szCs w:val="18"/>
                <w:color w:val="000000"/>
              </w:rPr>
              <w:t xml:space="preserve">Smaller</w:t>
            </w:r>
          </w:p>
        </w:tc>
      </w:tr>
      <w:tr>
        <w:trPr>
          <w:trHeight w:val="360" w:hRule="auto"/>
        </w:trPr>
        footer2
        <w:tc>
          <w:tcPr>
            <w:gridSpan w:val="11"/>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vertAlign w:val="superscript"/>
                <w:sz w:val="18"/>
                <w:szCs w:val="18"/>
                <w:color w:val="000000"/>
              </w:rPr>
              <w:t xml:space="preserve">a</w:t>
            </w:r>
            <w:r>
              <w:rPr>
                <w:rFonts w:ascii="Times New Roman" w:hAnsi="Times New Roman" w:eastAsia="Times New Roman" w:cs="Times New Roman"/>
                <w:i w:val="false"/>
                <w:b w:val="false"/>
                <w:u w:val="none"/>
                <w:sz w:val="18"/>
                <w:szCs w:val="18"/>
                <w:color w:val="000000"/>
              </w:rPr>
              <w:t xml:space="preserve">Based on Schreiber (2017), Table 3.</w:t>
            </w:r>
          </w:p>
        </w:tc>
      </w:tr>
    </w:tbl>
    <w:p>
      <w:pPr>
        <w:pStyle w:val="a0"/>
      </w:pPr>
      <w:r>
        <w:t xml:space="preserve">The structural modeling diagram in Figure</w:t>
      </w:r>
      <w:r>
        <w:t xml:space="preserve"> </w:t>
      </w:r>
      <w:hyperlink w:anchor="fig-sem">
        <w:r xmlns:w14="http://schemas.microsoft.com/office/word/2010/wordml">
          <w:rPr/>
          <w:fldChar w:fldCharType="begin" w:dirty="true"/>
        </w:r>
        <w:r xmlns:w14="http://schemas.microsoft.com/office/word/2010/wordml">
          <w:rPr/>
          <w:instrText xml:space="preserve" w:dirty="true"> REF fig-sem \h</w:instrText>
        </w:r>
        <w:r xmlns:w14="http://schemas.microsoft.com/office/word/2010/wordml">
          <w:rPr/>
          <w:fldChar w:fldCharType="end" w:dirty="true"/>
        </w:r>
      </w:hyperlink>
      <w:r>
        <w:t xml:space="preserve"> </w:t>
      </w:r>
      <w:r>
        <w:t xml:space="preserve">indicates the path coefficients and explanatory variance of the structural model with standardized parameter estimates. The construct of Parent–child Relationship explained 16% of the variance in the construct of Learning Motivation, corresponding to a standardized regression coefficient of 0.400.</w:t>
      </w:r>
    </w:p>
    <w:p>
      <w:pPr>
        <w:jc w:val="center"/>
        <w:pStyle w:val="Figure"/>
      </w:pPr>
      <w:r>
        <w:rPr/>
        <w:drawing>
          <wp:inline distT="0" distB="0" distL="0" distR="0">
            <wp:extent cx="5486400" cy="3390595"/>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9"/>
                    <a:stretch>
                      <a:fillRect/>
                    </a:stretch>
                  </pic:blipFill>
                  <pic:spPr bwMode="auto">
                    <a:xfrm>
                      <a:off x="0" y="0"/>
                      <a:ext cx="76200" cy="47092"/>
                    </a:xfrm>
                    <a:prstGeom prst="rect">
                      <a:avLst/>
                    </a:prstGeom>
                    <a:noFill/>
                  </pic:spPr>
                </pic:pic>
              </a:graphicData>
            </a:graphic>
          </wp:inline>
        </w:drawing>
      </w:r>
    </w:p>
    <w:p>
      <w:pPr>
        <w:pStyle w:val="ImageCaption"/>
      </w:pPr>
      <w:r>
        <w:rPr>
          <w:rFonts/>
          <w:b w:val="true"/>
        </w:rPr>
        <w:t xml:space="preserve">Figure </w:t>
      </w:r>
      <w:bookmarkStart w:id="ab3da59d-1998-4171-a2fe-9feff3ccdef4" w:name="fig-sem"/>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b3da59d-1998-4171-a2fe-9feff3ccdef4"/>
      <w:r>
        <w:rPr>
          <w:rFonts/>
          <w:b w:val="true"/>
        </w:rPr>
        <w:t xml:space="preserve">: </w:t>
      </w:r>
      <w:r>
        <w:t xml:space="preserve">The structural modeling diagram.</w:t>
      </w:r>
    </w:p>
    <w:bookmarkEnd w:id="30"/>
    <w:bookmarkStart w:id="31" w:name="hypotheses-tested"/>
    <w:p>
      <w:pPr>
        <w:pStyle w:val="2"/>
      </w:pPr>
      <w:r>
        <w:t xml:space="preserve">Hypotheses Tested</w:t>
      </w:r>
    </w:p>
    <w:p>
      <w:pPr>
        <w:pStyle w:val="FirstParagraph"/>
      </w:pPr>
      <w:r>
        <w:t xml:space="preserve">As seen in Table</w:t>
      </w:r>
      <w:r>
        <w:t xml:space="preserve"> </w:t>
      </w:r>
      <w:hyperlink w:anchor="tab5">
        <w:r xmlns:w14="http://schemas.microsoft.com/office/word/2010/wordml">
          <w:rPr/>
          <w:fldChar w:fldCharType="begin" w:dirty="true"/>
        </w:r>
        <w:r xmlns:w14="http://schemas.microsoft.com/office/word/2010/wordml">
          <w:rPr/>
          <w:instrText xml:space="preserve" w:dirty="true"> REF tab5 \h</w:instrText>
        </w:r>
        <w:r xmlns:w14="http://schemas.microsoft.com/office/word/2010/wordml">
          <w:rPr/>
          <w:fldChar w:fldCharType="end" w:dirty="true"/>
        </w:r>
      </w:hyperlink>
      <w:r>
        <w:t xml:space="preserve">, parent–child relationship and learning engagement established significant and positive relationships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0a9ab85d-13b3-416c-88fa-f1a118d56670" w:name="tab5"/>
      <w:r>
        <w:rPr>
          <w:rFonts/>
          <w:b w:val="true"/>
        </w:rPr>
        <w:fldChar w:fldCharType="begin" w:dirty="true"/>
      </w:r>
      <w:r>
        <w:rPr>
          <w:rFonts/>
          <w:b w:val="true"/>
        </w:rPr>
        <w:instrText xml:space="preserve" w:dirty="true">SEQ tab \* Arabic</w:instrText>
      </w:r>
      <w:r>
        <w:rPr>
          <w:rFonts/>
          <w:b w:val="true"/>
        </w:rPr>
        <w:fldChar w:fldCharType="end" w:dirty="true"/>
      </w:r>
      <w:bookmarkEnd w:id="0a9ab85d-13b3-416c-88fa-f1a118d56670"/>
      <w:r>
        <w:rPr>
          <w:rFonts/>
          <w:b w:val="true"/>
        </w:rPr>
        <w:t xml:space="preserve">: </w:t>
      </w:r>
      <w:r>
        <w:t xml:space="preserve">The test results of path relationship.</w:t>
      </w:r>
    </w:p>
    <w:tbl xmlns:w14="http://schemas.microsoft.com/office/word/2010/wordml">
      <w:tblPr>
        <w:tblLayout w:type="fixed"/>
        <w:jc w:val="center"/>
        <w:tblLook w:firstRow="1" w:lastRow="0" w:firstColumn="0" w:lastColumn="0" w:noHBand="0" w:noVBand="1"/>
      </w:tblPr>
      <w:tblGrid>
        <w:gridCol w:w="875"/>
        <w:gridCol w:w="1688"/>
        <w:gridCol w:w="985"/>
        <w:gridCol w:w="961"/>
        <w:gridCol w:w="1059"/>
        <w:gridCol w:w="668"/>
        <w:gridCol w:w="1426"/>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std.all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Remark</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H1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 --&gt; perf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Supported</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H2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 --&gt; 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Supported</w:t>
            </w:r>
          </w:p>
        </w:tc>
      </w:tr>
      <w:tr>
        <w:trPr>
          <w:trHeight w:val="61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H3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 --&gt; perf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Supported</w:t>
            </w:r>
          </w:p>
        </w:tc>
      </w:tr>
      <w:tr>
        <w:trPr>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H5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style --&gt; iden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Supported</w:t>
            </w:r>
          </w:p>
        </w:tc>
      </w:tr>
      <w:tr>
        <w:trPr>
          <w:trHeight w:val="61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H6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emp --&gt; iden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Supported</w:t>
            </w:r>
          </w:p>
        </w:tc>
      </w:tr>
      <w:tr>
        <w:trPr>
          <w:trHeight w:val="619"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H7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iden --&gt; perf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0.299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Supported</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Standard error. ***p &lt; 0.001, **p &lt; 0.01, *p &lt; 0.05, +p &lt; 0.10</w:t>
            </w:r>
          </w:p>
        </w:tc>
      </w:tr>
    </w:tbl>
    <w:p>
      <w:pPr>
        <w:pStyle w:val="a0"/>
      </w:pPr>
      <w:r>
        <w:t xml:space="preserve">learning engagement and played partial mediating roles. And H4, H8, and H9 were also supported. In addition, the effect percentage showed that the direct effect of parent– child relationship on learning engagement explained 36.5%, while the indirect effect of parent–child relationship on learning engagement accounted for 63.5%, much greater than that of the direct effect. Among the three indirect effects, the indirect effect from parent–child relationship to learning engagement via learning motivation and academic self-efficacy was the greatest.</w:t>
      </w:r>
    </w:p>
    <w:bookmarkEnd w:id="31"/>
    <w:bookmarkEnd w:id="32"/>
    <w:bookmarkStart w:id="33" w:name="discussion-and-conclusion"/>
    <w:p>
      <w:pPr>
        <w:pStyle w:val="1"/>
      </w:pPr>
      <w:r>
        <w:t xml:space="preserve">Discussion and conclusion</w:t>
      </w:r>
    </w:p>
    <w:p>
      <w:pPr>
        <w:pStyle w:val="FirstParagraph"/>
      </w:pPr>
      <w:r>
        <w:t xml:space="preserve">The child relationship and learning engagement. In parallel, it also attempted to explore the mediating roles of learning motivation and academic self-efficacy in that link. The major findings are as follows.</w:t>
      </w:r>
    </w:p>
    <w:p>
      <w:pPr>
        <w:pStyle w:val="a0"/>
      </w:pPr>
      <w:r>
        <w:t xml:space="preserve">The results of the study showed that parent–child relationship was directly related to learning engagement, which is consistent with prior studies, that is, students with better parent–child relationship are more likely to engage themselves more in learning. One possible reason is that good parent–child interaction makes adolescents feel warm and loved, and promote their mental health, which is beneficial to adolescents’ devotion to learning. The results of this study further highlighted that parent–child relationship is an influential factor of learning engagement</w:t>
      </w:r>
      <w:r>
        <w:t xml:space="preserve">(</w:t>
      </w:r>
      <w:hyperlink w:anchor="ref-XuHonggang2016">
        <w:r>
          <w:rPr>
            <w:rStyle w:val="ae"/>
          </w:rPr>
          <w:t xml:space="preserve">Xu &amp; Ye, 2016</w:t>
        </w:r>
      </w:hyperlink>
      <w:r>
        <w:t xml:space="preserve">)</w:t>
      </w:r>
      <w:r>
        <w:t xml:space="preserve">.</w:t>
      </w:r>
    </w:p>
    <w:p>
      <w:r>
        <w:br w:type="page"/>
      </w:r>
    </w:p>
    <w:bookmarkEnd w:id="33"/>
    <w:bookmarkStart w:id="40" w:name="references"/>
    <w:p>
      <w:pPr>
        <w:pStyle w:val="1"/>
      </w:pPr>
      <w:r>
        <w:t xml:space="preserve">References</w:t>
      </w:r>
    </w:p>
    <w:bookmarkStart w:id="39" w:name="refs"/>
    <w:bookmarkStart w:id="34" w:name="ref-Chang2007"/>
    <w:p>
      <w:pPr>
        <w:pStyle w:val="a8"/>
      </w:pPr>
      <w:r>
        <w:t xml:space="preserve">Chang, H. (2007). The long-term effectiveness of the family check-up on peer preference: Parent-child interaction and child effortful control as sequential mediators.</w:t>
      </w:r>
      <w:r>
        <w:t xml:space="preserve"> </w:t>
      </w:r>
      <w:r>
        <w:rPr>
          <w:iCs/>
          <w:i/>
        </w:rPr>
        <w:t xml:space="preserve">Journal of Abnormal Child Psychology</w:t>
      </w:r>
      <w:r>
        <w:t xml:space="preserve">,</w:t>
      </w:r>
      <w:r>
        <w:t xml:space="preserve"> </w:t>
      </w:r>
      <w:r>
        <w:rPr>
          <w:iCs/>
          <w:i/>
        </w:rPr>
        <w:t xml:space="preserve">17</w:t>
      </w:r>
      <w:r>
        <w:t xml:space="preserve">(7), 507–518.</w:t>
      </w:r>
    </w:p>
    <w:bookmarkEnd w:id="34"/>
    <w:bookmarkStart w:id="36" w:name="ref-Malczyk2017"/>
    <w:p>
      <w:pPr>
        <w:pStyle w:val="a8"/>
      </w:pPr>
      <w:r>
        <w:t xml:space="preserve">Malczyk, B. R., &amp; Lawson, H. A. (2017).</w:t>
      </w:r>
      <w:r>
        <w:t xml:space="preserve"> </w:t>
      </w:r>
      <w:hyperlink r:id="rId35">
        <w:r>
          <w:rPr>
            <w:rStyle w:val="ae"/>
          </w:rPr>
          <w:t xml:space="preserve">Parental monitoring, the parent-child relationship and children’s academic engagement in mother-headed single-parent families</w:t>
        </w:r>
      </w:hyperlink>
      <w:r>
        <w:t xml:space="preserve">.</w:t>
      </w:r>
      <w:r>
        <w:t xml:space="preserve"> </w:t>
      </w:r>
      <w:r>
        <w:rPr>
          <w:iCs/>
          <w:i/>
        </w:rPr>
        <w:t xml:space="preserve">Children and Youth Services Review</w:t>
      </w:r>
      <w:r>
        <w:t xml:space="preserve">,</w:t>
      </w:r>
      <w:r>
        <w:t xml:space="preserve"> </w:t>
      </w:r>
      <w:r>
        <w:rPr>
          <w:iCs/>
          <w:i/>
        </w:rPr>
        <w:t xml:space="preserve">73</w:t>
      </w:r>
      <w:r>
        <w:t xml:space="preserve">, 274–282.</w:t>
      </w:r>
    </w:p>
    <w:bookmarkEnd w:id="36"/>
    <w:bookmarkStart w:id="38" w:name="ref-XuHonggang2016"/>
    <w:p>
      <w:pPr>
        <w:pStyle w:val="a8"/>
      </w:pPr>
      <w:r>
        <w:t xml:space="preserve">Xu, H., &amp; Ye, T. (2016). A study of the interaction effect of organizational innovation climate and motivational preferences on employees’ innovative behavior.</w:t>
      </w:r>
      <w:r>
        <w:t xml:space="preserve"> </w:t>
      </w:r>
      <w:r>
        <w:rPr>
          <w:iCs/>
          <w:i/>
        </w:rPr>
        <w:t xml:space="preserve">Journal of China Tourism Research</w:t>
      </w:r>
      <w:r>
        <w:t xml:space="preserve">,</w:t>
      </w:r>
      <w:r>
        <w:t xml:space="preserve"> </w:t>
      </w:r>
      <w:r>
        <w:rPr>
          <w:iCs/>
          <w:i/>
        </w:rPr>
        <w:t xml:space="preserve">12</w:t>
      </w:r>
      <w:r>
        <w:t xml:space="preserve">(1), 108–125. Routledge. Retrieved from</w:t>
      </w:r>
      <w:r>
        <w:t xml:space="preserve"> </w:t>
      </w:r>
      <w:hyperlink r:id="rId37">
        <w:r>
          <w:rPr>
            <w:rStyle w:val="ae"/>
          </w:rPr>
          <w:t xml:space="preserve">https://doi.org/10.1080/19388160.2016.1168758</w:t>
        </w:r>
      </w:hyperlink>
    </w:p>
    <w:bookmarkEnd w:id="38"/>
    <w:bookmarkEnd w:id="39"/>
    <w:bookmarkEnd w:id="40"/>
    <w:sectPr w:rsidR="00CB0E17">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800" w:right="180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B595" w14:textId="77777777" w:rsidR="004B5B5C" w:rsidRDefault="004B5B5C">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396160"/>
      <w:docPartObj>
        <w:docPartGallery w:val="Page Numbers (Bottom of Page)"/>
        <w:docPartUnique/>
      </w:docPartObj>
    </w:sdtPr>
    <w:sdtContent>
      <w:p w14:paraId="47563D6E" w14:textId="7F27DC0A" w:rsidR="004B5B5C" w:rsidRDefault="004B5B5C">
        <w:pPr>
          <w:pStyle w:val="af1"/>
          <w:jc w:val="center"/>
        </w:pPr>
        <w:r>
          <w:fldChar w:fldCharType="begin"/>
        </w:r>
        <w:r>
          <w:instrText>PAGE   \* MERGEFORMAT</w:instrText>
        </w:r>
        <w:r>
          <w:fldChar w:fldCharType="separate"/>
        </w:r>
        <w:r>
          <w:rPr>
            <w:lang w:val="zh-CN" w:eastAsia="zh-CN"/>
          </w:rPr>
          <w:t>2</w:t>
        </w:r>
        <w:r>
          <w:fldChar w:fldCharType="end"/>
        </w:r>
      </w:p>
    </w:sdtContent>
  </w:sdt>
  <w:p w14:paraId="77D23FFD" w14:textId="77777777" w:rsidR="004B5B5C" w:rsidRDefault="004B5B5C">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AC7" w14:textId="77777777" w:rsidR="004B5B5C" w:rsidRDefault="004B5B5C">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2FA6" w14:textId="77777777" w:rsidR="004B5B5C" w:rsidRDefault="004B5B5C">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F756" w14:textId="77777777" w:rsidR="004B5B5C" w:rsidRDefault="004B5B5C">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33037" w14:textId="77777777" w:rsidR="004B5B5C" w:rsidRDefault="004B5B5C">
    <w:pPr>
      <w:pStyle w:val="af"/>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692FEC0"/>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F37C93B6"/>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212623E0"/>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030441A"/>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40988DF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63C4F11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9C2E2328"/>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30907976"/>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5C8814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82A18BC"/>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43EC708C"/>
    <w:multiLevelType w:val="multilevel"/>
    <w:tmpl w:val="04090025"/>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1">
    <w:nsid w:val="497E2980"/>
    <w:multiLevelType w:val="hybridMultilevel"/>
    <w:tmpl w:val="DA382716"/>
    <w:lvl w:ilvl="0" w:tplc="96CEEE36">
      <w:start w:val="1"/>
      <w:numFmt w:val="decimal"/>
      <w:lvlText w:val="%1"/>
      <w:lvlJc w:val="center"/>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12233644" w:numId="1">
    <w:abstractNumId w:val="11"/>
  </w:num>
  <w:num w16cid:durableId="181164089" w:numId="2">
    <w:abstractNumId w:val="8"/>
  </w:num>
  <w:num w16cid:durableId="242497850" w:numId="3">
    <w:abstractNumId w:val="3"/>
  </w:num>
  <w:num w16cid:durableId="190650466" w:numId="4">
    <w:abstractNumId w:val="2"/>
  </w:num>
  <w:num w16cid:durableId="1477917761" w:numId="5">
    <w:abstractNumId w:val="1"/>
  </w:num>
  <w:num w16cid:durableId="338046225" w:numId="6">
    <w:abstractNumId w:val="0"/>
  </w:num>
  <w:num w16cid:durableId="794447875" w:numId="7">
    <w:abstractNumId w:val="9"/>
  </w:num>
  <w:num w16cid:durableId="1344279766" w:numId="8">
    <w:abstractNumId w:val="7"/>
  </w:num>
  <w:num w16cid:durableId="1521898285" w:numId="9">
    <w:abstractNumId w:val="6"/>
  </w:num>
  <w:num w16cid:durableId="423260003" w:numId="10">
    <w:abstractNumId w:val="5"/>
  </w:num>
  <w:num w16cid:durableId="1017731271" w:numId="11">
    <w:abstractNumId w:val="4"/>
  </w:num>
  <w:num w16cid:durableId="1308238576" w:numId="12">
    <w:abstractNumId w:val="8"/>
  </w:num>
  <w:num w16cid:durableId="1981381121" w:numId="13">
    <w:abstractNumId w:val="3"/>
  </w:num>
  <w:num w16cid:durableId="1036202054" w:numId="14">
    <w:abstractNumId w:val="2"/>
  </w:num>
  <w:num w16cid:durableId="739864068" w:numId="15">
    <w:abstractNumId w:val="1"/>
  </w:num>
  <w:num w16cid:durableId="1857845362" w:numId="16">
    <w:abstractNumId w:val="0"/>
  </w:num>
  <w:num w16cid:durableId="700669636" w:numId="17">
    <w:abstractNumId w:val="9"/>
  </w:num>
  <w:num w16cid:durableId="559632962" w:numId="18">
    <w:abstractNumId w:val="7"/>
  </w:num>
  <w:num w16cid:durableId="739520505" w:numId="19">
    <w:abstractNumId w:val="6"/>
  </w:num>
  <w:num w16cid:durableId="1705402988" w:numId="20">
    <w:abstractNumId w:val="5"/>
  </w:num>
  <w:num w16cid:durableId="717171381" w:numId="21">
    <w:abstractNumId w:val="4"/>
  </w:num>
  <w:num w16cid:durableId="1804889301" w:numId="22">
    <w:abstractNumId w:val="8"/>
  </w:num>
  <w:num w16cid:durableId="748891320" w:numId="23">
    <w:abstractNumId w:val="3"/>
  </w:num>
  <w:num w16cid:durableId="853232541" w:numId="24">
    <w:abstractNumId w:val="2"/>
  </w:num>
  <w:num w16cid:durableId="990720836" w:numId="25">
    <w:abstractNumId w:val="1"/>
  </w:num>
  <w:num w16cid:durableId="1482035460" w:numId="26">
    <w:abstractNumId w:val="0"/>
  </w:num>
  <w:num w16cid:durableId="215317253" w:numId="27">
    <w:abstractNumId w:val="9"/>
  </w:num>
  <w:num w16cid:durableId="916524746" w:numId="28">
    <w:abstractNumId w:val="7"/>
  </w:num>
  <w:num w16cid:durableId="1151673668" w:numId="29">
    <w:abstractNumId w:val="6"/>
  </w:num>
  <w:num w16cid:durableId="647322300" w:numId="30">
    <w:abstractNumId w:val="5"/>
  </w:num>
  <w:num w16cid:durableId="1531800483" w:numId="31">
    <w:abstractNumId w:val="4"/>
  </w:num>
  <w:num w16cid:durableId="282689285" w:numId="32">
    <w:abstractNumId w:val="10"/>
  </w:num>
  <w:num w:numId="1000">
    <w:abstractNumId w:val="99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667B8"/>
  </w:style>
  <w:style w:styleId="1" w:type="paragraph">
    <w:name w:val="heading 1"/>
    <w:basedOn w:val="a"/>
    <w:next w:val="a0"/>
    <w:link w:val="10"/>
    <w:uiPriority w:val="9"/>
    <w:qFormat/>
    <w:rsid w:val="00DA341B"/>
    <w:pPr>
      <w:keepNext/>
      <w:keepLines/>
      <w:numPr>
        <w:numId w:val="32"/>
      </w:numPr>
      <w:spacing w:after="120" w:before="600"/>
      <w:outlineLvl w:val="0"/>
    </w:pPr>
    <w:rPr>
      <w:rFonts w:asciiTheme="majorHAnsi" w:cstheme="majorBidi" w:eastAsiaTheme="majorEastAsia" w:hAnsiTheme="majorHAnsi"/>
      <w:b/>
      <w:bCs/>
      <w:color w:val="FF0000"/>
      <w:sz w:val="32"/>
      <w:szCs w:val="32"/>
    </w:rPr>
  </w:style>
  <w:style w:styleId="2" w:type="paragraph">
    <w:name w:val="heading 2"/>
    <w:basedOn w:val="a"/>
    <w:next w:val="a0"/>
    <w:uiPriority w:val="9"/>
    <w:unhideWhenUsed/>
    <w:qFormat/>
    <w:rsid w:val="00D5660F"/>
    <w:pPr>
      <w:keepNext/>
      <w:keepLines/>
      <w:numPr>
        <w:ilvl w:val="1"/>
        <w:numId w:val="32"/>
      </w:numPr>
      <w:spacing w:after="0"/>
      <w:ind w:right="57"/>
      <w:outlineLvl w:val="1"/>
    </w:pPr>
    <w:rPr>
      <w:rFonts w:asciiTheme="majorHAnsi" w:cstheme="majorBidi" w:eastAsiaTheme="majorEastAsia" w:hAnsiTheme="majorHAnsi"/>
      <w:b/>
      <w:bCs/>
      <w:color w:val="FF0000"/>
      <w:sz w:val="28"/>
      <w:szCs w:val="28"/>
    </w:rPr>
  </w:style>
  <w:style w:styleId="3" w:type="paragraph">
    <w:name w:val="heading 3"/>
    <w:basedOn w:val="a"/>
    <w:next w:val="a0"/>
    <w:uiPriority w:val="9"/>
    <w:unhideWhenUsed/>
    <w:qFormat/>
    <w:pPr>
      <w:keepNext/>
      <w:keepLines/>
      <w:numPr>
        <w:ilvl w:val="2"/>
        <w:numId w:val="32"/>
      </w:num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numPr>
        <w:ilvl w:val="3"/>
        <w:numId w:val="32"/>
      </w:numPr>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numPr>
        <w:ilvl w:val="4"/>
        <w:numId w:val="32"/>
      </w:numPr>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numPr>
        <w:ilvl w:val="5"/>
        <w:numId w:val="32"/>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numPr>
        <w:ilvl w:val="6"/>
        <w:numId w:val="32"/>
      </w:numPr>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numPr>
        <w:ilvl w:val="7"/>
        <w:numId w:val="32"/>
      </w:numPr>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numPr>
        <w:ilvl w:val="8"/>
        <w:numId w:val="32"/>
      </w:numPr>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372973"/>
    <w:pPr>
      <w:spacing w:after="180" w:before="180"/>
      <w:ind w:firstLine="200" w:firstLineChars="200"/>
      <w:jc w:val="both"/>
    </w:pPr>
  </w:style>
  <w:style w:customStyle="1" w:styleId="FirstParagraph" w:type="paragraph">
    <w:name w:val="First Paragraph"/>
    <w:basedOn w:val="a0"/>
    <w:next w:val="a0"/>
    <w:qFormat/>
    <w:rsid w:val="00B73EF0"/>
  </w:style>
  <w:style w:customStyle="1" w:styleId="Compact" w:type="paragraph">
    <w:name w:val="Compact"/>
    <w:basedOn w:val="a0"/>
    <w:qFormat/>
    <w:rsid w:val="007C6442"/>
    <w:pPr>
      <w:spacing w:after="36" w:before="36"/>
      <w:jc w:val="center"/>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rsid w:val="00CB0E17"/>
    <w:pPr>
      <w:ind w:hanging="200" w:hangingChars="200" w:left="200"/>
    </w:pPr>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73EF0"/>
    <w:pPr>
      <w:keepNext/>
      <w:jc w:val="center"/>
    </w:pPr>
  </w:style>
  <w:style w:customStyle="1" w:styleId="ImageCaption" w:type="paragraph">
    <w:name w:val="Image Caption"/>
    <w:basedOn w:val="ab"/>
    <w:rsid w:val="00B73EF0"/>
    <w:pPr>
      <w:jc w:val="center"/>
    </w:p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a4" w:type="character">
    <w:name w:val="正文文本 字符"/>
    <w:basedOn w:val="a1"/>
    <w:link w:val="a0"/>
    <w:rsid w:val="00372973"/>
  </w:style>
  <w:style w:styleId="af" w:type="paragraph">
    <w:name w:val="header"/>
    <w:basedOn w:val="a"/>
    <w:link w:val="af0"/>
    <w:unhideWhenUsed/>
    <w:rsid w:val="004B5B5C"/>
    <w:pPr>
      <w:pBdr>
        <w:bottom w:color="auto" w:space="1" w:sz="6" w:val="single"/>
      </w:pBdr>
      <w:tabs>
        <w:tab w:pos="4153" w:val="center"/>
        <w:tab w:pos="8306" w:val="right"/>
      </w:tabs>
      <w:snapToGrid w:val="0"/>
      <w:jc w:val="center"/>
    </w:pPr>
    <w:rPr>
      <w:sz w:val="18"/>
      <w:szCs w:val="18"/>
    </w:rPr>
  </w:style>
  <w:style w:customStyle="1" w:styleId="af0" w:type="character">
    <w:name w:val="页眉 字符"/>
    <w:basedOn w:val="a1"/>
    <w:link w:val="af"/>
    <w:rsid w:val="004B5B5C"/>
    <w:rPr>
      <w:sz w:val="18"/>
      <w:szCs w:val="18"/>
    </w:rPr>
  </w:style>
  <w:style w:styleId="af1" w:type="paragraph">
    <w:name w:val="footer"/>
    <w:basedOn w:val="a"/>
    <w:link w:val="af2"/>
    <w:unhideWhenUsed/>
    <w:rsid w:val="004B5B5C"/>
    <w:pPr>
      <w:tabs>
        <w:tab w:pos="4153" w:val="center"/>
        <w:tab w:pos="8306" w:val="right"/>
      </w:tabs>
      <w:snapToGrid w:val="0"/>
    </w:pPr>
    <w:rPr>
      <w:sz w:val="18"/>
      <w:szCs w:val="18"/>
    </w:rPr>
  </w:style>
  <w:style w:customStyle="1" w:styleId="af2" w:type="character">
    <w:name w:val="页脚 字符"/>
    <w:basedOn w:val="a1"/>
    <w:link w:val="af1"/>
    <w:rsid w:val="004B5B5C"/>
    <w:rPr>
      <w:sz w:val="18"/>
      <w:szCs w:val="18"/>
    </w:rPr>
  </w:style>
  <w:style w:customStyle="1" w:styleId="10" w:type="character">
    <w:name w:val="标题 1 字符"/>
    <w:basedOn w:val="a1"/>
    <w:link w:val="1"/>
    <w:uiPriority w:val="9"/>
    <w:rsid w:val="00DA341B"/>
    <w:rPr>
      <w:rFonts w:asciiTheme="majorHAnsi" w:cstheme="majorBidi" w:eastAsiaTheme="majorEastAsia" w:hAnsiTheme="majorHAnsi"/>
      <w:b/>
      <w:bCs/>
      <w:color w:val="FF0000"/>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6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35" Type="http://schemas.openxmlformats.org/officeDocument/2006/relationships/hyperlink" Target="https://doi.org/10.1016/j.childyouth.2016.12.019" TargetMode="External"/>
<Relationship Id="rId37" Type="http://schemas.openxmlformats.org/officeDocument/2006/relationships/hyperlink" Target="https://doi.org/10.1080/19388160.2016.1168758" TargetMode="External"/>
<Relationship Id="rId38" Type="http://schemas.openxmlformats.org/officeDocument/2006/relationships/image" Target="media/0f413626c421923d489eb74072683db7b5eee1f2.png"/>
<Relationship Id="rId39" Type="http://schemas.openxmlformats.org/officeDocument/2006/relationships/image" Target="media/ab29a20047fca3568512c79f47fe4d7f928c3423.png"/>
</Relationships>

</file>

<file path=word/_rels/footnotes.xml.rels><?xml version="1.0" encoding="UTF-8" standalone="yes"?>

<Relationships  xmlns="http://schemas.openxmlformats.org/package/2006/relationships">
<Relationship Id="rId35" Type="http://schemas.openxmlformats.org/officeDocument/2006/relationships/hyperlink" Target="https://doi.org/10.1016/j.childyouth.2016.12.019" TargetMode="External"/>
<Relationship Id="rId37" Type="http://schemas.openxmlformats.org/officeDocument/2006/relationships/hyperlink" Target="https://doi.org/10.1080/19388160.2016.1168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领导风格对企业绩效的影响：</dc:title>
  <dc:creator>author</dc:creator>
  <cp:keywords/>
  <dcterms:created xsi:type="dcterms:W3CDTF">2024-07-27T06:48:34Z</dcterms:created>
  <dcterms:modified xsi:type="dcterms:W3CDTF">2024-07-27T14:48:34Z</dcterms:modified>
  <cp:lastModifiedBy>wmj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apa-5th-edition.csl</vt:lpwstr>
  </property>
  <property fmtid="{D5CDD505-2E9C-101B-9397-08002B2CF9AE}" pid="4" name="date">
    <vt:lpwstr>2024-07-27</vt:lpwstr>
  </property>
  <property fmtid="{D5CDD505-2E9C-101B-9397-08002B2CF9AE}" pid="5" name="link-citations">
    <vt:lpwstr>True</vt:lpwstr>
  </property>
  <property fmtid="{D5CDD505-2E9C-101B-9397-08002B2CF9AE}" pid="6" name="linkcolor">
    <vt:lpwstr>red</vt:lpwstr>
  </property>
  <property fmtid="{D5CDD505-2E9C-101B-9397-08002B2CF9AE}" pid="7" name="output">
    <vt:lpwstr/>
  </property>
  <property fmtid="{D5CDD505-2E9C-101B-9397-08002B2CF9AE}" pid="8" name="subtitle">
    <vt:lpwstr>以领导授权和员工身份认同的链式中介</vt:lpwstr>
  </property>
  <property fmtid="{D5CDD505-2E9C-101B-9397-08002B2CF9AE}" pid="9" name="urlcolor">
    <vt:lpwstr>red</vt:lpwstr>
  </property>
</Properties>
</file>