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5"/>
      </w:pPr>
      <w:r>
        <w:rPr>
          <w:rFonts w:hint="eastAsia"/>
        </w:rPr>
        <w:t xml:space="preserve">帮助研究者从“找到知识”到“生产可信知识”：</w:t>
      </w:r>
    </w:p>
    <w:p>
      <w:pPr>
        <w:pStyle w:val="a6"/>
      </w:pPr>
      <w:r>
        <w:rPr>
          <w:rFonts w:hint="eastAsia"/>
        </w:rPr>
        <w:t xml:space="preserve">高校图书馆“科研数据会诊室”的实践路径与能力重塑</w:t>
      </w:r>
    </w:p>
    <w:p>
      <w:pPr>
        <w:pStyle w:val="Author"/>
      </w:pPr>
      <w:r>
        <w:rPr>
          <w:rFonts w:hint="eastAsia"/>
        </w:rPr>
        <w:t xml:space="preserve">王敏杰（四川师范大学图书馆）</w:t>
      </w:r>
    </w:p>
    <w:sdt>
      <w:sdtPr>
        <w:docPartObj>
          <w:docPartGallery w:val="Table of Contents"/>
          <w:docPartUnique/>
        </w:docPartObj>
      </w:sdtPr>
      <w:sdtContent>
        <w:p>
          <w:pPr>
            <w:pStyle w:val="TOC"/>
          </w:pPr>
          <w:r>
            <w:rPr>
              <w:rFonts w:hint="eastAsia"/>
            </w:rPr>
            <w:t xml:space="preserve">目录</w:t>
          </w:r>
        </w:p>
        <w:p>
          <w:r>
            <w:fldChar w:fldCharType="begin" w:dirty="true"/>
            <w:instrText xml:space="preserve">TOC \o "1-3" \h \z \u</w:instrText>
            <w:fldChar w:fldCharType="separate"/>
            <w:fldChar w:fldCharType="end"/>
          </w:r>
        </w:p>
      </w:sdtContent>
    </w:sdt>
    <w:bookmarkStart w:id="20" w:name="摘要"/>
    <w:p>
      <w:pPr>
        <w:pStyle w:val="1"/>
      </w:pPr>
      <w:r>
        <w:rPr>
          <w:rFonts w:hint="eastAsia"/>
        </w:rPr>
        <w:t xml:space="preserve">摘要</w:t>
      </w:r>
    </w:p>
    <w:p>
      <w:pPr>
        <w:pStyle w:val="FirstParagraph"/>
      </w:pPr>
      <w:r>
        <w:rPr>
          <w:rFonts w:hint="eastAsia"/>
        </w:rPr>
        <w:t xml:space="preserve">在开放科学、人工智能与数据密集型科研快速发展的背景下，高校科研人员对图书馆学科服务的需求，正在从文献获取和资源利用，延伸到数据组织、统计建模、结果解释与可重复研究支持。本文以四川师范大学图书馆“科研数据会诊室”为案例，探讨高校图书馆如何将开放科学资源、AI</w:t>
      </w:r>
      <w:r>
        <w:t xml:space="preserve"> </w:t>
      </w:r>
      <w:r>
        <w:rPr>
          <w:rFonts w:hint="eastAsia"/>
        </w:rPr>
        <w:t xml:space="preserve">协作工具与统计建模能力转化为面向真实科研问题的知识服务能力。案例实践表明，通过“顶刊论文复现”和“科研数据会诊”两翼并进、可重复研究工作流贯穿其中的服务模式，能够推动图书馆学科服务从资源保障走向方法支持、过程协同与知识资产沉淀。该案例说明，在</w:t>
      </w:r>
      <w:r>
        <w:t xml:space="preserve"> AI for Science </w:t>
      </w:r>
      <w:r>
        <w:rPr>
          <w:rFonts w:hint="eastAsia"/>
        </w:rPr>
        <w:t xml:space="preserve">与开放科学交汇的时代，高校图书馆的核心竞争力不再只是资源掌握能力，而是将文献、数据、工具、模型和研究问题重新组织为可信知识生产流程的能力。</w:t>
      </w:r>
    </w:p>
    <w:p>
      <w:pPr>
        <w:pStyle w:val="a0"/>
      </w:pPr>
      <w:r>
        <w:rPr>
          <w:rFonts w:hint="eastAsia"/>
          <w:b/>
          <w:bCs/>
        </w:rPr>
        <w:t xml:space="preserve">关键词：</w:t>
      </w:r>
      <w:r>
        <w:t xml:space="preserve"> </w:t>
      </w:r>
      <w:r>
        <w:rPr>
          <w:rFonts w:hint="eastAsia"/>
        </w:rPr>
        <w:t xml:space="preserve">高校图书馆；开放科学；统计建模；学科服务；可重复研究；知识服务</w:t>
      </w:r>
    </w:p>
    <w:bookmarkEnd w:id="20"/>
    <w:bookmarkStart w:id="21" w:name="案例背景科研服务需求发生变化"/>
    <w:p>
      <w:pPr>
        <w:pStyle w:val="1"/>
      </w:pPr>
      <w:r>
        <w:t xml:space="preserve">1. </w:t>
      </w:r>
      <w:r>
        <w:rPr>
          <w:rFonts w:hint="eastAsia"/>
        </w:rPr>
        <w:t xml:space="preserve">案例背景：科研服务需求发生变化</w:t>
      </w:r>
    </w:p>
    <w:p>
      <w:pPr>
        <w:pStyle w:val="FirstParagraph"/>
      </w:pPr>
      <w:r>
        <w:rPr>
          <w:rFonts w:hint="eastAsia"/>
        </w:rPr>
        <w:t xml:space="preserve">近年来，开放科学理念持续深入，越来越多高水平期刊开始公开论文原始数据、分析代码和研究流程。对于高校科研人员而言，这不仅提高了研究透明度和可重复性，也为学习高水平研究方法提供了新的路径。研究者不再只能阅读论文结论，还可以进一步追踪一项研究如何提出问题、组织数据、建立模型、生成图表并完成论文写作。</w:t>
      </w:r>
    </w:p>
    <w:p>
      <w:pPr>
        <w:pStyle w:val="a0"/>
      </w:pPr>
      <w:r>
        <w:rPr>
          <w:rFonts w:hint="eastAsia"/>
        </w:rPr>
        <w:t xml:space="preserve">与此同时，人工智能、数据科学和统计建模方法正在深刻改变科研生产方式。越来越多学科的研究问题，已经不再局限于简单描述统计、相关分析或普通回归，而是涉及多层级数据、纵向追踪数据、空间数据、潜变量、非线性关系、因果推断和不确定性表达等复杂情境。科研人员在真实研究过程中，常常面对的并不是“软件如何操作”的单一问题，而是“数据结构是否支持研究问题”</w:t>
      </w:r>
      <w:r>
        <w:rPr>
          <w:rFonts w:hint="eastAsia"/>
        </w:rPr>
        <w:t xml:space="preserve">“模型假设是否合理”</w:t>
      </w:r>
      <w:r>
        <w:rPr>
          <w:rFonts w:hint="eastAsia"/>
        </w:rPr>
        <w:t xml:space="preserve">“结果能解释到什么程度”</w:t>
      </w:r>
      <w:r>
        <w:rPr>
          <w:rFonts w:hint="eastAsia"/>
        </w:rPr>
        <w:t xml:space="preserve">“论文中如何规范表达”</w:t>
      </w:r>
      <w:r>
        <w:rPr>
          <w:rFonts w:hint="eastAsia"/>
        </w:rPr>
        <w:t xml:space="preserve">等综合性问题。</w:t>
      </w:r>
    </w:p>
    <w:p>
      <w:pPr>
        <w:pStyle w:val="a0"/>
      </w:pPr>
      <w:r>
        <w:rPr>
          <w:rFonts w:hint="eastAsia"/>
        </w:rPr>
        <w:t xml:space="preserve">这意味着，高校科研人员对图书馆的需求已经从“找到文献”扩展到“理解文献背后的方法”，从“获取数据”扩展到“使用数据产生可信知识”，从“学习工具操作”扩展到“掌握可迁移的研究流程”。然而，当前不少高校图书馆学科服务仍以数据库资源介绍、文献检索培训、查收查引、投稿指导和学术评价支持为主，对于科研数据分析、统计建模、论文方法表达和可重复研究流程的支持相对不足。</w:t>
      </w:r>
    </w:p>
    <w:p>
      <w:pPr>
        <w:pStyle w:val="a0"/>
      </w:pPr>
      <w:r>
        <w:rPr>
          <w:rFonts w:hint="eastAsia"/>
        </w:rPr>
        <w:t xml:space="preserve">在这一背景下，高校图书馆需要重新思考自身在科研生态中的位置。图书馆不只是知识资源的组织者和提供者，也应成为科研过程的协同者、方法能力的支持者和开放科学实践的推动者。特别是在开放科学背景下，图书馆可以利用顶刊开放数据、公开代码、开源软件和可重复研究流程，将外部优质科研资源转化为本校师生可学习、可模仿、可迁移的教学案例和咨询服务。</w:t>
      </w:r>
    </w:p>
    <w:p>
      <w:pPr>
        <w:pStyle w:val="a0"/>
      </w:pPr>
      <w:r>
        <w:rPr>
          <w:rFonts w:hint="eastAsia"/>
        </w:rPr>
        <w:t xml:space="preserve">基于上述认识，四川师范大学图书馆学科服务部门尝试建设“科研数据会诊室”，探索面向科研全流程的数据分析与统计建模支持服务。</w:t>
      </w:r>
    </w:p>
    <w:bookmarkEnd w:id="21"/>
    <w:bookmarkStart w:id="22" w:name="案例目标从资源保障到方法支持"/>
    <w:p>
      <w:pPr>
        <w:pStyle w:val="1"/>
      </w:pPr>
      <w:r>
        <w:t xml:space="preserve">2. </w:t>
      </w:r>
      <w:r>
        <w:rPr>
          <w:rFonts w:hint="eastAsia"/>
        </w:rPr>
        <w:t xml:space="preserve">案例目标：从资源保障到方法支持</w:t>
      </w:r>
    </w:p>
    <w:p>
      <w:pPr>
        <w:pStyle w:val="FirstParagraph"/>
      </w:pPr>
      <w:r>
        <w:rPr>
          <w:rFonts w:hint="eastAsia"/>
        </w:rPr>
        <w:t xml:space="preserve">“科研数据会诊室”</w:t>
      </w:r>
      <w:r>
        <w:rPr>
          <w:rFonts w:hint="eastAsia"/>
        </w:rPr>
        <w:t xml:space="preserve">的建设目标，并不是简单增加一项数据分析咨询业务，而是以真实科研需求变化为牵引，推动图书馆学科服务从资源保障走向方法支持、过程协同和知识沉淀。</w:t>
      </w:r>
    </w:p>
    <w:p>
      <w:pPr>
        <w:pStyle w:val="a0"/>
      </w:pPr>
      <w:r>
        <w:rPr>
          <w:rFonts w:hint="eastAsia"/>
        </w:rPr>
        <w:t xml:space="preserve">第一，从资源服务转向方法服务。传统学科服务强调资源发现与利用，例如数据库检索、文献获取、论文投稿和学术评价等。这些服务仍然重要，但已不足以支撑科研人员完成复杂研究任务。</w:t>
      </w:r>
      <w:r>
        <w:rPr>
          <w:rFonts w:hint="eastAsia"/>
        </w:rPr>
        <w:t xml:space="preserve">“科研数据会诊室”</w:t>
      </w:r>
      <w:r>
        <w:rPr>
          <w:rFonts w:hint="eastAsia"/>
        </w:rPr>
        <w:t xml:space="preserve">希望在资源服务基础上进一步延伸，帮助科研人员理解文献中的研究设计、数据组织、模型选择和结果解释，推动学科服务从“告诉读者在哪里找资源”转向“帮助读者如何使用数据和方法解决问题”。</w:t>
      </w:r>
    </w:p>
    <w:p>
      <w:pPr>
        <w:pStyle w:val="a0"/>
      </w:pPr>
      <w:r>
        <w:rPr>
          <w:rFonts w:hint="eastAsia"/>
        </w:rPr>
        <w:t xml:space="preserve">第二，从一次性培训转向连续性能力建设。以往图书馆培训多为单场讲座，虽然能够提高资源知晓度，但难以持续提升科研人员的数据分析和统计建模能力。为此，本案例将培训课程化、系列化和品牌化，围绕科研绘图、统计建模、贝叶斯推断和</w:t>
      </w:r>
      <w:r>
        <w:t xml:space="preserve"> Stan </w:t>
      </w:r>
      <w:r>
        <w:rPr>
          <w:rFonts w:hint="eastAsia"/>
        </w:rPr>
        <w:t xml:space="preserve">建模等主题，形成由浅入深、由工具到思想、由案例到迁移的学习路径。</w:t>
      </w:r>
    </w:p>
    <w:p>
      <w:pPr>
        <w:pStyle w:val="a0"/>
      </w:pPr>
      <w:r>
        <w:rPr>
          <w:rFonts w:hint="eastAsia"/>
        </w:rPr>
        <w:t xml:space="preserve">第三，从通用指导转向嵌入式科研支持。科研人员的问题往往高度具体，无法仅靠通用讲座解决。不同学科的数据类型、研究设计、变量关系和论文表达方式存在较大差异。因此，</w:t>
      </w:r>
      <w:r>
        <w:rPr>
          <w:rFonts w:hint="eastAsia"/>
        </w:rPr>
        <w:t xml:space="preserve">“科研数据会诊室”</w:t>
      </w:r>
      <w:r>
        <w:rPr>
          <w:rFonts w:hint="eastAsia"/>
        </w:rPr>
        <w:t xml:space="preserve">强调以真实科研问题为入口，通过预约咨询、个案诊断、项目伴走等方式，嵌入教师课题、研究生论文和科研团队项目，提供更具针对性的支持。</w:t>
      </w:r>
    </w:p>
    <w:p>
      <w:pPr>
        <w:pStyle w:val="a0"/>
      </w:pPr>
      <w:r>
        <w:rPr>
          <w:rFonts w:hint="eastAsia"/>
        </w:rPr>
        <w:t xml:space="preserve">由此，本案例试图回答一个核心问题：高校图书馆如何在开放科学与人工智能快速发展的背景下，将外部开放资源和智能工具转化为面向真实科研问题的统计建模支持能力，并进一步形成可教学、可培训、可会诊、可沉淀的知识服务体系？</w:t>
      </w:r>
    </w:p>
    <w:bookmarkEnd w:id="22"/>
    <w:bookmarkStart w:id="33" w:name="实践设计与实施路径构建两翼一体的服务模式"/>
    <w:p>
      <w:pPr>
        <w:pStyle w:val="1"/>
      </w:pPr>
      <w:r>
        <w:t xml:space="preserve">3. </w:t>
      </w:r>
      <w:r>
        <w:rPr>
          <w:rFonts w:hint="eastAsia"/>
        </w:rPr>
        <w:t xml:space="preserve">实践设计与实施路径：构建“两翼一体”的服务模式</w:t>
      </w:r>
    </w:p>
    <w:p>
      <w:pPr>
        <w:pStyle w:val="FirstParagraph"/>
      </w:pPr>
      <w:r>
        <w:rPr>
          <w:rFonts w:hint="eastAsia"/>
        </w:rPr>
        <w:t xml:space="preserve">在实践设计上，</w:t>
      </w:r>
      <w:r>
        <w:rPr>
          <w:rFonts w:hint="eastAsia"/>
        </w:rPr>
        <w:t xml:space="preserve">“科研数据会诊室”</w:t>
      </w:r>
      <w:r>
        <w:rPr>
          <w:rFonts w:hint="eastAsia"/>
        </w:rPr>
        <w:t xml:space="preserve">的运行逻辑可概括为“支撑—服务—成效—价值”四个层次，如图</w:t>
      </w:r>
      <w:r>
        <w:t xml:space="preserve"> </w:t>
      </w:r>
      <w:hyperlink w:anchor="fig-figure01">
        <w:r>
          <w:rPr>
            <w:rStyle w:val="ae"/>
          </w:rPr>
          <w:t xml:space="preserve">1</w:t>
        </w:r>
      </w:hyperlink>
      <w:r>
        <w:t xml:space="preserve"> </w:t>
      </w:r>
      <w:r>
        <w:rPr>
          <w:rFonts w:hint="eastAsia"/>
        </w:rPr>
        <w:t xml:space="preserve">所示。</w:t>
      </w:r>
      <w:r>
        <w:t xml:space="preserve"> </w:t>
      </w:r>
      <w:r>
        <w:rPr>
          <w:rFonts w:hint="eastAsia"/>
        </w:rPr>
        <w:t xml:space="preserve">首先，在支撑层，开放科学、统计建模与人工智能分别提供资源基础、核心方法能力和效率支撑；其次，在服务层，形成“顶刊论文复现”与“科研数据会诊”两翼并进、可重复研究工作流贯穿其中的“两翼一体”服务模式；再次，在成效层，逐步形成能力建设、科研支持和知识资产沉淀三类成果；最终，在价值层，推动图书馆知识服务从“帮助研究者找到知识”延伸至“帮助研究者生产可信知识”。</w:t>
      </w:r>
    </w:p>
    <w:tbl>
      <w:tblPr>
        <w:tblStyle w:val="Table"/>
        <w:tblW w:type="pct" w:w="5000"/>
        <w:tblLayout w:type="fixed"/>
        <w:tblLook w:firstRow="0" w:lastRow="0" w:firstColumn="0" w:lastColumn="0" w:noHBand="0" w:noVBand="0" w:val="0000"/>
      </w:tblPr>
      <w:tblGrid>
        <w:gridCol w:w="7920"/>
      </w:tblGrid>
      <w:tr>
        <w:tc>
          <w:tcPr/>
          <w:bookmarkStart w:id="26" w:name="fig-figure01"/>
          <w:p>
            <w:pPr>
              <w:pStyle w:val="Compact"/>
              <w:jc w:val="center"/>
            </w:pPr>
            <w:r>
              <w:drawing>
                <wp:inline>
                  <wp:extent cx="5212080" cy="3718286"/>
                  <wp:effectExtent b="0" l="0" r="0" t="0"/>
                  <wp:docPr descr="" title="" id="24" name="Picture"/>
                  <a:graphic>
                    <a:graphicData uri="http://schemas.openxmlformats.org/drawingml/2006/picture">
                      <pic:pic>
                        <pic:nvPicPr>
                          <pic:cNvPr descr="images/figure01.png" id="25" name="Picture"/>
                          <pic:cNvPicPr>
                            <a:picLocks noChangeArrowheads="1" noChangeAspect="1"/>
                          </pic:cNvPicPr>
                        </pic:nvPicPr>
                        <pic:blipFill>
                          <a:blip r:embed="rId23"/>
                          <a:stretch>
                            <a:fillRect/>
                          </a:stretch>
                        </pic:blipFill>
                        <pic:spPr bwMode="auto">
                          <a:xfrm>
                            <a:off x="0" y="0"/>
                            <a:ext cx="5212080" cy="3718286"/>
                          </a:xfrm>
                          <a:prstGeom prst="rect">
                            <a:avLst/>
                          </a:prstGeom>
                          <a:noFill/>
                          <a:ln w="9525">
                            <a:noFill/>
                            <a:headEnd/>
                            <a:tailEnd/>
                          </a:ln>
                        </pic:spPr>
                      </pic:pic>
                    </a:graphicData>
                  </a:graphic>
                </wp:inline>
              </w:drawing>
            </w:r>
          </w:p>
          <w:p>
            <w:pPr>
              <w:jc w:val="center"/>
            </w:pPr>
            <w:pPr>
              <w:jc w:val="left"/>
              <w:spacing w:before="200"/>
              <w:pStyle w:val="ImageCaption"/>
            </w:pPr>
            <w:r>
              <w:rPr>
                <w:rFonts w:hint="eastAsia"/>
              </w:rPr>
              <w:t xml:space="preserve">图</w:t>
            </w:r>
            <w:r>
              <w:t xml:space="preserve"> 1: </w:t>
            </w:r>
            <w:r>
              <w:rPr>
                <w:rFonts w:hint="eastAsia"/>
              </w:rPr>
              <w:t xml:space="preserve">高校图书馆“科研数据会诊室”案例逻辑框架</w:t>
            </w:r>
          </w:p>
          <w:bookmarkEnd w:id="26"/>
        </w:tc>
      </w:tr>
    </w:tbl>
    <w:p>
      <w:pPr>
        <w:pStyle w:val="a0"/>
      </w:pPr>
      <w:r>
        <w:rPr>
          <w:rFonts w:hint="eastAsia"/>
        </w:rPr>
        <w:t xml:space="preserve">其中，</w:t>
      </w:r>
      <w:r>
        <w:rPr>
          <w:rFonts w:hint="eastAsia"/>
        </w:rPr>
        <w:t xml:space="preserve">“两翼一体”</w:t>
      </w:r>
      <w:r>
        <w:rPr>
          <w:rFonts w:hint="eastAsia"/>
        </w:rPr>
        <w:t xml:space="preserve">是具体服务形式：一翼是面向广大师生的“顶刊论文复现”，承担公益型能力建设功能；一翼是面向真实课题的“科研数据会诊”，承担问题诊断、模型建议、项目伴走功能；</w:t>
      </w:r>
      <w:r>
        <w:rPr>
          <w:rFonts w:hint="eastAsia"/>
        </w:rPr>
        <w:t xml:space="preserve">“一体”</w:t>
      </w:r>
      <w:r>
        <w:rPr>
          <w:rFonts w:hint="eastAsia"/>
        </w:rPr>
        <w:t xml:space="preserve">则是贯穿二者的可重复研究工作流。该模式的关键，并不只是提供代码或工具，而是将研究者的自然语言困惑转译为可判断的数据结构、可执行的建模方案和可解释的研究结果。</w:t>
      </w:r>
    </w:p>
    <w:bookmarkStart w:id="27" w:name="明确-ai开放科学与统计建模的分工"/>
    <w:p>
      <w:pPr>
        <w:pStyle w:val="2"/>
      </w:pPr>
      <w:r>
        <w:t xml:space="preserve">3.1 </w:t>
      </w:r>
      <w:r>
        <w:rPr>
          <w:rFonts w:hint="eastAsia"/>
        </w:rPr>
        <w:t xml:space="preserve">明确</w:t>
      </w:r>
      <w:r>
        <w:t xml:space="preserve"> </w:t>
      </w:r>
      <w:r>
        <w:rPr>
          <w:rFonts w:hint="eastAsia"/>
        </w:rPr>
        <w:t xml:space="preserve">AI、开放科学与统计建模的分工</w:t>
      </w:r>
    </w:p>
    <w:p>
      <w:pPr>
        <w:pStyle w:val="FirstParagraph"/>
      </w:pPr>
      <w:r>
        <w:rPr>
          <w:rFonts w:hint="eastAsia"/>
        </w:rPr>
        <w:t xml:space="preserve">在该案例中，开放科学、人工智能与统计建模并不是并列的三个概念，而是分别承担不同功能。开放科学提供真实、可追溯、可复用的研究材料；AI</w:t>
      </w:r>
      <w:r>
        <w:t xml:space="preserve"> </w:t>
      </w:r>
      <w:r>
        <w:rPr>
          <w:rFonts w:hint="eastAsia"/>
        </w:rPr>
        <w:t xml:space="preserve">协作工具提高代码生成、调试、文献整理和表达优化的效率；统计建模则提供判断研究问题、数据结构、模型假设和代码执行的核心框架。</w:t>
      </w:r>
    </w:p>
    <w:p>
      <w:pPr>
        <w:pStyle w:val="a0"/>
      </w:pPr>
      <w:r>
        <w:rPr>
          <w:rFonts w:hint="eastAsia"/>
        </w:rPr>
        <w:t xml:space="preserve">因此，AI</w:t>
      </w:r>
      <w:r>
        <w:t xml:space="preserve"> </w:t>
      </w:r>
      <w:r>
        <w:rPr>
          <w:rFonts w:hint="eastAsia"/>
        </w:rPr>
        <w:t xml:space="preserve">并不替代会诊人员的专业判断。它可以帮助更快生成代码初稿、发现语法错误、整理分析流程或润色方法表达，但研究问题是否成立、变量关系如何理解、模型假设是否合理、结论能否支撑论文主张，仍需要由具备统计建模素养和跨学科沟通能力的服务人员把关。可以概括为：AI</w:t>
      </w:r>
      <w:r>
        <w:t xml:space="preserve"> </w:t>
      </w:r>
      <w:r>
        <w:rPr>
          <w:rFonts w:hint="eastAsia"/>
        </w:rPr>
        <w:t xml:space="preserve">解决“做得更快”，统计建模解决“做得是否合理”，可重复研究工作流解决“做完是否可信”。</w:t>
      </w:r>
    </w:p>
    <w:bookmarkEnd w:id="27"/>
    <w:bookmarkStart w:id="29" w:name="以顶刊论文复现开展课程化训练"/>
    <w:p>
      <w:pPr>
        <w:pStyle w:val="2"/>
      </w:pPr>
      <w:r>
        <w:t xml:space="preserve">3.2 </w:t>
      </w:r>
      <w:r>
        <w:rPr>
          <w:rFonts w:hint="eastAsia"/>
        </w:rPr>
        <w:t xml:space="preserve">以顶刊论文复现开展课程化训练</w:t>
      </w:r>
    </w:p>
    <w:p>
      <w:pPr>
        <w:pStyle w:val="FirstParagraph"/>
      </w:pPr>
      <w:r>
        <w:rPr>
          <w:rFonts w:hint="eastAsia"/>
        </w:rPr>
        <w:t xml:space="preserve">顶刊论文复现主要依托开放科学资源，选择</w:t>
      </w:r>
      <w:r>
        <w:t xml:space="preserve"> Nature、Science </w:t>
      </w:r>
      <w:r>
        <w:rPr>
          <w:rFonts w:hint="eastAsia"/>
        </w:rPr>
        <w:t xml:space="preserve">及其他高水平期刊中公开数据和代码的论文作为教学案例，从真实论文中的研究问题开始，引导师生理解一项研究如何经历“问题提出—数据获取—变量构造—模型设定—结果可视化—论文表达”的完整过程。</w:t>
      </w:r>
    </w:p>
    <w:p>
      <w:pPr>
        <w:pStyle w:val="a0"/>
      </w:pPr>
      <w:r>
        <w:rPr>
          <w:rFonts w:hint="eastAsia"/>
        </w:rPr>
        <w:t xml:space="preserve">在案例选择上，主要遵循三个标准：一是研究问题具有普遍启发性，能够跨学科迁移；二是数据和代码相对完整，便于复现；三是模型方法具有教学价值，例如混合模型、贝叶斯模型、时空模型、结构方程模型等。在此基础上，图书馆逐步形成“跟着</w:t>
      </w:r>
      <w:r>
        <w:t xml:space="preserve"> Nature </w:t>
      </w:r>
      <w:r>
        <w:rPr>
          <w:rFonts w:hint="eastAsia"/>
        </w:rPr>
        <w:t xml:space="preserve">学”四季训练营课程体系，见表</w:t>
      </w:r>
      <w:r>
        <w:t xml:space="preserve"> </w:t>
      </w:r>
      <w:hyperlink w:anchor="tbl-table01">
        <w:r>
          <w:rPr>
            <w:rStyle w:val="ae"/>
          </w:rPr>
          <w:t xml:space="preserve">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8" w:name="tbl-table01"/>
          <w:p>
            <w:pPr>
              <w:jc w:val="center"/>
            </w:pPr>
            <w:pPr>
              <w:jc w:val="left"/>
              <w:spacing w:before="200"/>
              <w:pStyle w:val="ImageCaption"/>
            </w:pPr>
            <w:r>
              <w:rPr>
                <w:rFonts w:hint="eastAsia"/>
              </w:rPr>
              <w:t xml:space="preserve">表</w:t>
            </w:r>
            <w:r>
              <w:t xml:space="preserve"> 1:</w:t>
            </w:r>
            <w:r>
              <w:t xml:space="preserve"> </w:t>
            </w:r>
            <w:r>
              <w:rPr>
                <w:rFonts w:hint="eastAsia"/>
              </w:rPr>
              <w:t xml:space="preserve">“跟着</w:t>
            </w:r>
            <w:r>
              <w:t xml:space="preserve"> Nature </w:t>
            </w:r>
            <w:r>
              <w:rPr>
                <w:rFonts w:hint="eastAsia"/>
              </w:rPr>
              <w:t xml:space="preserve">学”</w:t>
            </w:r>
            <w:r>
              <w:rPr>
                <w:rFonts w:hint="eastAsia"/>
              </w:rPr>
              <w:t xml:space="preserve">四季训练营设计</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
              <w:gridCol w:w="2160"/>
              <w:gridCol w:w="3600"/>
              <w:gridCol w:w="2160"/>
            </w:tblGrid>
            <w:tr>
              <w:trPr>
                <w:trHeight w:val="360"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tru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true"/>
                      <w:u w:val="none"/>
                      <w:strike w:val="false"/>
                      <w:sz w:val="21"/>
                      <w:szCs w:val="21"/>
                      <w:color w:val="000000"/>
                    </w:rPr>
                    <w:t xml:space="preserve">季节</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tru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true"/>
                      <w:u w:val="none"/>
                      <w:strike w:val="false"/>
                      <w:sz w:val="21"/>
                      <w:szCs w:val="21"/>
                      <w:color w:val="000000"/>
                    </w:rPr>
                    <w:t xml:space="preserve">模块</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tru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true"/>
                      <w:u w:val="none"/>
                      <w:strike w:val="false"/>
                      <w:sz w:val="21"/>
                      <w:szCs w:val="21"/>
                      <w:color w:val="000000"/>
                    </w:rPr>
                    <w:t xml:space="preserve">服务内容</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tru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true"/>
                      <w:u w:val="none"/>
                      <w:strike w:val="false"/>
                      <w:sz w:val="21"/>
                      <w:szCs w:val="21"/>
                      <w:color w:val="000000"/>
                    </w:rPr>
                    <w:t xml:space="preserve">能力目标</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春</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跟着 Nature 学绘图</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复现顶刊图形，学习 ggplot2、配色、分布表达与图形叙事</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提升科研图表表达能力</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夏</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跟着 Nature 学建模</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学习线性模型、广义线性模型、混合模型、结构方程模型等常用模型</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提升模型理解与选择能力</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秋</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跟着 Nature 学贝叶斯</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从小样本、不确定性、层级结构和先验信息切入</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提升不确定性表达与后验思维能力</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冬</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跟着 Nature 学 Stan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用 Stan 重写论文模型，从数学表达式到计算代码的转换</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提升透明建模和机制理解能力</w:t>
                  </w:r>
                </w:p>
              </w:tc>
            </w:tr>
          </w:tbl>
          <w:bookmarkEnd w:id="28"/>
        </w:tc>
      </w:tr>
    </w:tbl>
    <w:p>
      <w:pPr>
        <w:pStyle w:val="a0"/>
      </w:pPr>
      <w:r>
        <w:rPr>
          <w:rFonts w:hint="eastAsia"/>
        </w:rPr>
        <w:t xml:space="preserve">这一课程设计的主要目的是：让师生不只是“看懂论文”，而是通过复现论文的数据分析流程，理解顶刊研究背后的方法逻辑，并将其迁移到自己的研究中。</w:t>
      </w:r>
    </w:p>
    <w:bookmarkEnd w:id="29"/>
    <w:bookmarkStart w:id="31" w:name="以真实科研问题开展数据会诊"/>
    <w:p>
      <w:pPr>
        <w:pStyle w:val="2"/>
      </w:pPr>
      <w:r>
        <w:t xml:space="preserve">3.3 </w:t>
      </w:r>
      <w:r>
        <w:rPr>
          <w:rFonts w:hint="eastAsia"/>
        </w:rPr>
        <w:t xml:space="preserve">以真实科研问题开展数据会诊</w:t>
      </w:r>
    </w:p>
    <w:p>
      <w:pPr>
        <w:pStyle w:val="FirstParagraph"/>
      </w:pPr>
      <w:r>
        <w:rPr>
          <w:rFonts w:hint="eastAsia"/>
        </w:rPr>
        <w:t xml:space="preserve">与课程化训练相比，科研数据会诊更加注重个性化和场景化。师生可以带着自己的数据、选题、假设或分析困惑进入会诊流程。会诊室首先帮助其澄清研究问题，再进一步判断数据类型、变量结构、样本规模、研究设计和可能适用的模型路径。</w:t>
      </w:r>
    </w:p>
    <w:p>
      <w:pPr>
        <w:pStyle w:val="a0"/>
      </w:pPr>
      <w:r>
        <w:rPr>
          <w:rFonts w:hint="eastAsia"/>
        </w:rPr>
        <w:t xml:space="preserve">在实际服务中，许多科研问题最初都是以自然语言形式出现的。例如：</w:t>
      </w:r>
      <w:r>
        <w:rPr>
          <w:rFonts w:hint="eastAsia"/>
        </w:rPr>
        <w:t xml:space="preserve">“我的样本量很小，还能不能比较两组差异？”</w:t>
      </w:r>
      <w:r>
        <w:rPr>
          <w:rFonts w:hint="eastAsia"/>
        </w:rPr>
        <w:t xml:space="preserve">“我的数据来自多个医院、多个科室、多个时间点，如何判断政策是否有效？”</w:t>
      </w:r>
      <w:r>
        <w:rPr>
          <w:rFonts w:hint="eastAsia"/>
        </w:rPr>
        <w:t xml:space="preserve">“我的问卷变量存在潜变量和交互作用，应该怎样建模？”</w:t>
      </w:r>
      <w:r>
        <w:rPr>
          <w:rFonts w:hint="eastAsia"/>
        </w:rPr>
        <w:t xml:space="preserve">“我的解释变量可能存在内生性，如何处理？”</w:t>
      </w:r>
    </w:p>
    <w:p>
      <w:pPr>
        <w:pStyle w:val="a0"/>
      </w:pPr>
      <w:r>
        <w:rPr>
          <w:rFonts w:hint="eastAsia"/>
        </w:rPr>
        <w:t xml:space="preserve">科研数据会诊室的关键工作，就是把这类“人话问题”翻译为“统计模型”，把模糊的研究困惑转化为可判断的数据结构、可执行的建模方案和可解释的结果表达。这种“问题转译”能力，是科研数据会诊室区别于普通软件培训的核心。表</w:t>
      </w:r>
      <w:r>
        <w:t xml:space="preserve"> </w:t>
      </w:r>
      <w:hyperlink w:anchor="tbl-table02">
        <w:r>
          <w:rPr>
            <w:rStyle w:val="ae"/>
          </w:rPr>
          <w:t xml:space="preserve">2</w:t>
        </w:r>
      </w:hyperlink>
      <w:r>
        <w:t xml:space="preserve"> </w:t>
      </w:r>
      <w:r>
        <w:rPr>
          <w:rFonts w:hint="eastAsia"/>
        </w:rPr>
        <w:t xml:space="preserve">展示了会诊服务中较有代表性的转译情形。</w:t>
      </w:r>
    </w:p>
    <w:tbl>
      <w:tblPr>
        <w:tblStyle w:val="Table"/>
        <w:tblW w:type="pct" w:w="5000"/>
        <w:tblLayout w:type="fixed"/>
        <w:tblLook w:firstRow="0" w:lastRow="0" w:firstColumn="0" w:lastColumn="0" w:noHBand="0" w:noVBand="0" w:val="0000"/>
      </w:tblPr>
      <w:tblGrid>
        <w:gridCol w:w="7920"/>
      </w:tblGrid>
      <w:tr>
        <w:tc>
          <w:tcPr/>
          <w:bookmarkStart w:id="30" w:name="tbl-table02"/>
          <w:p>
            <w:pPr>
              <w:jc w:val="center"/>
            </w:pPr>
            <w:pPr>
              <w:jc w:val="left"/>
              <w:spacing w:before="200"/>
              <w:pStyle w:val="ImageCaption"/>
            </w:pPr>
            <w:r>
              <w:rPr>
                <w:rFonts w:hint="eastAsia"/>
              </w:rPr>
              <w:t xml:space="preserve">表</w:t>
            </w:r>
            <w:r>
              <w:t xml:space="preserve"> 2: </w:t>
            </w:r>
            <w:r>
              <w:rPr>
                <w:rFonts w:hint="eastAsia"/>
              </w:rPr>
              <w:t xml:space="preserve">会诊服务内容展示：从“人话问题”到统计建模方案（节选）</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85"/>
              <w:gridCol w:w="3142"/>
              <w:gridCol w:w="4713"/>
            </w:tblGrid>
            <w:tr>
              <w:trPr>
                <w:trHeight w:val="360"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tru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true"/>
                      <w:u w:val="none"/>
                      <w:strike w:val="false"/>
                      <w:sz w:val="21"/>
                      <w:szCs w:val="21"/>
                      <w:color w:val="000000"/>
                    </w:rPr>
                    <w:t xml:space="preserve">编号</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tru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true"/>
                      <w:u w:val="none"/>
                      <w:strike w:val="false"/>
                      <w:sz w:val="21"/>
                      <w:szCs w:val="21"/>
                      <w:color w:val="000000"/>
                    </w:rPr>
                    <w:t xml:space="preserve">人话问题</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tru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true"/>
                      <w:u w:val="none"/>
                      <w:strike w:val="false"/>
                      <w:sz w:val="21"/>
                      <w:szCs w:val="21"/>
                      <w:color w:val="000000"/>
                    </w:rPr>
                    <w:t xml:space="preserve">统计建模转译路径</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我的数据来自多个医院、多个科室、多个时间点，想看政策是否真的有效</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层级 DID / 多水平纵向模型：加入医院与科室随机效应，必要时设定相关结构与非中心化参数化</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我的样本很小，但想比较两组差异，又担心传统检验不稳定</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贝叶斯组间比较模型，直接估计后验分布与差异概率</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我的结局变量是计数，但零特别多，普通 Poisson 感觉不合适</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零膨胀 Poisson / hurdle 模型，必要时加入层级结构</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我不只想看中介效应，还想看调节中介</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潜变量中介模型 + 交互项显式建模</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我的解释变量可能是内生的，担心回归系数不可信</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Bayesian IV 联合模型，显式建模误差相关结构</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我既关心局部差异，也关心整体趋势</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固定效应 + 层级结构 + 空间/时间随机项联合建模</w:t>
                  </w:r>
                </w:p>
              </w:tc>
            </w:tr>
          </w:tbl>
          <w:bookmarkEnd w:id="30"/>
        </w:tc>
      </w:tr>
    </w:tbl>
    <w:p>
      <w:pPr>
        <w:pStyle w:val="a0"/>
      </w:pPr>
      <w:r>
        <w:rPr>
          <w:rFonts w:hint="eastAsia"/>
        </w:rPr>
        <w:t xml:space="preserve">在实施过程中，会诊室逐步形成“初诊—复诊—伴走—沉淀”的服务流程。</w:t>
      </w:r>
      <w:r>
        <w:rPr>
          <w:rFonts w:hint="eastAsia"/>
        </w:rPr>
        <w:t xml:space="preserve">“初诊”</w:t>
      </w:r>
      <w:r>
        <w:rPr>
          <w:rFonts w:hint="eastAsia"/>
        </w:rPr>
        <w:t xml:space="preserve">阶段主要澄清研究目的、数据来源、变量含义、样本结构和预期论文表达；</w:t>
      </w:r>
      <w:r>
        <w:rPr>
          <w:rFonts w:hint="eastAsia"/>
        </w:rPr>
        <w:t xml:space="preserve">“复诊”</w:t>
      </w:r>
      <w:r>
        <w:rPr>
          <w:rFonts w:hint="eastAsia"/>
        </w:rPr>
        <w:t xml:space="preserve">阶段进一步讨论模型方案、代码实现和初步结果；</w:t>
      </w:r>
      <w:r>
        <w:rPr>
          <w:rFonts w:hint="eastAsia"/>
        </w:rPr>
        <w:t xml:space="preserve">“伴走”</w:t>
      </w:r>
      <w:r>
        <w:rPr>
          <w:rFonts w:hint="eastAsia"/>
        </w:rPr>
        <w:t xml:space="preserve">阶段根据项目需要，参与数据清理、模型调整、结果解释、图形优化和论文方法部分写作；</w:t>
      </w:r>
      <w:r>
        <w:rPr>
          <w:rFonts w:hint="eastAsia"/>
        </w:rPr>
        <w:t xml:space="preserve">“沉淀”</w:t>
      </w:r>
      <w:r>
        <w:rPr>
          <w:rFonts w:hint="eastAsia"/>
        </w:rPr>
        <w:t xml:space="preserve">阶段则将具有共性的咨询问题整理为培训案例、代码模板或服务指南。</w:t>
      </w:r>
    </w:p>
    <w:bookmarkEnd w:id="31"/>
    <w:bookmarkStart w:id="32" w:name="以可重复研究工作流实现服务沉淀"/>
    <w:p>
      <w:pPr>
        <w:pStyle w:val="2"/>
      </w:pPr>
      <w:r>
        <w:t xml:space="preserve">3.4 </w:t>
      </w:r>
      <w:r>
        <w:rPr>
          <w:rFonts w:hint="eastAsia"/>
        </w:rPr>
        <w:t xml:space="preserve">以可重复研究工作流实现服务沉淀</w:t>
      </w:r>
    </w:p>
    <w:p>
      <w:pPr>
        <w:pStyle w:val="FirstParagraph"/>
      </w:pPr>
      <w:r>
        <w:rPr>
          <w:rFonts w:hint="eastAsia"/>
        </w:rPr>
        <w:t xml:space="preserve">为了避免咨询服务停留在一次性答疑层面，本案例强调通过可重复研究工作流实现知识沉淀。每一次会诊不仅产出一套分析结果，还尽量形成可复用的项目文件夹、数据清理脚本、模型代码、图形代码、结果解释模板和方法写作说明。</w:t>
      </w:r>
    </w:p>
    <w:p>
      <w:pPr>
        <w:pStyle w:val="a0"/>
      </w:pPr>
      <w:r>
        <w:rPr>
          <w:rFonts w:hint="eastAsia"/>
        </w:rPr>
        <w:t xml:space="preserve">在工具层面，服务过程中主要使用</w:t>
      </w:r>
      <w:r>
        <w:t xml:space="preserve"> R、RMarkdown </w:t>
      </w:r>
      <w:r>
        <w:rPr>
          <w:rFonts w:hint="eastAsia"/>
        </w:rPr>
        <w:t xml:space="preserve">或</w:t>
      </w:r>
      <w:r>
        <w:t xml:space="preserve"> Quarto、dplyr、brms、lavaan、ggplot2、marginaleffects </w:t>
      </w:r>
      <w:r>
        <w:rPr>
          <w:rFonts w:hint="eastAsia"/>
        </w:rPr>
        <w:t xml:space="preserve">等开源软件工具，鼓励研究人员将数据处理、统计建模、图表生成和论文结果整理纳入同一套可追溯流程。这样，图书馆提供的就不只是一个“结论”，而是一套可以复现、可以修改、可以复用的分析路径。</w:t>
      </w:r>
    </w:p>
    <w:p>
      <w:pPr>
        <w:pStyle w:val="a0"/>
      </w:pPr>
      <w:r>
        <w:rPr>
          <w:rFonts w:hint="eastAsia"/>
        </w:rPr>
        <w:t xml:space="preserve">通过这一设计，</w:t>
      </w:r>
      <w:r>
        <w:rPr>
          <w:rFonts w:hint="eastAsia"/>
        </w:rPr>
        <w:t xml:space="preserve">“科研数据会诊室”</w:t>
      </w:r>
      <w:r>
        <w:rPr>
          <w:rFonts w:hint="eastAsia"/>
        </w:rPr>
        <w:t xml:space="preserve">逐步形成从开放资源转化、课程训练、个案咨询到知识资产沉淀的服务闭环。由顶刊论文复现形成的课程案例、由科研数据会诊形成的真实问题、由可重复研究工作流形成的代码与模板，又进一步反哺后续培训和服务，推动图书馆学科服务从外围支持走向科研过程内部。</w:t>
      </w:r>
    </w:p>
    <w:bookmarkEnd w:id="32"/>
    <w:bookmarkEnd w:id="33"/>
    <w:bookmarkStart w:id="34" w:name="典型会诊案例从模糊研究困惑到可执行模型方案"/>
    <w:p>
      <w:pPr>
        <w:pStyle w:val="1"/>
      </w:pPr>
      <w:r>
        <w:t xml:space="preserve">4. </w:t>
      </w:r>
      <w:r>
        <w:rPr>
          <w:rFonts w:hint="eastAsia"/>
        </w:rPr>
        <w:t xml:space="preserve">典型会诊案例：从模糊研究困惑到可执行模型方案</w:t>
      </w:r>
    </w:p>
    <w:p>
      <w:pPr>
        <w:pStyle w:val="FirstParagraph"/>
      </w:pPr>
      <w:r>
        <w:rPr>
          <w:rFonts w:hint="eastAsia"/>
        </w:rPr>
        <w:t xml:space="preserve">这里选取我校商学院教师团队关于心理授权与创新绩效的研究。研究者最初的困惑并不是“某个软件如何操作”，而是：问卷中存在多个潜在概念，研究假设涉及中介和调节关系，样本量并不十分充足，如何判断模型是否合适、结果如何表达。</w:t>
      </w:r>
    </w:p>
    <w:p>
      <w:pPr>
        <w:pStyle w:val="a0"/>
      </w:pPr>
      <w:r>
        <w:rPr>
          <w:rFonts w:hint="eastAsia"/>
        </w:rPr>
        <w:t xml:space="preserve">初诊阶段：问题拆解。首先帮助研究者梳理理论框架和变量关系，将原本较为笼统的表述拆分为三个层次：第一，量表题项能否支持潜变量测量；第二，核心自变量、因变量、中介变量和调节变量之间的路径关系是否具有理论依据；第三，样本量和题项质量是否足以支撑较复杂的结构方程模型。</w:t>
      </w:r>
    </w:p>
    <w:p>
      <w:pPr>
        <w:pStyle w:val="a0"/>
      </w:pPr>
      <w:r>
        <w:rPr>
          <w:rFonts w:hint="eastAsia"/>
        </w:rPr>
        <w:t xml:space="preserve">复诊阶段：逐步建模。建议先进行量表信度、验证性因子分析和模型识别检查，而不是直接进入复杂路径模型；在此基础上，再根据理论假设逐步比较简单中介模型、调节模型和调节中介模型。</w:t>
      </w:r>
    </w:p>
    <w:p>
      <w:pPr>
        <w:pStyle w:val="a0"/>
      </w:pPr>
      <w:r>
        <w:rPr>
          <w:rFonts w:hint="eastAsia"/>
        </w:rPr>
        <w:t xml:space="preserve">伴走阶段：可重复性。主要是整理代码、量表检查和图表建议，最终产出不是单一的统计结果，而是一套可追溯、可复用的分析流程。更重要的是，会诊过程也反向推动我自身的学习和提升。面对潜变量交互、非正态题项和小样本估计不稳定等问题，我逐渐意识到，传统频率学方法难以回应当前研究中的不确定性与复杂性。相比之下，贝叶斯模型能够通过先验信息、后验分布和完整的不确定性表达，为这类复杂研究问题提供更稳健、更透明的建模路径。</w:t>
      </w:r>
    </w:p>
    <w:bookmarkEnd w:id="34"/>
    <w:bookmarkStart w:id="37" w:name="服务成效能力提升科研支持与知识资产沉淀"/>
    <w:p>
      <w:pPr>
        <w:pStyle w:val="1"/>
      </w:pPr>
      <w:r>
        <w:t xml:space="preserve">5. </w:t>
      </w:r>
      <w:r>
        <w:rPr>
          <w:rFonts w:hint="eastAsia"/>
        </w:rPr>
        <w:t xml:space="preserve">服务成效：能力提升、科研支持与知识资产沉淀</w:t>
      </w:r>
    </w:p>
    <w:p>
      <w:pPr>
        <w:pStyle w:val="FirstParagraph"/>
      </w:pPr>
      <w:r>
        <w:rPr>
          <w:rFonts w:hint="eastAsia"/>
        </w:rPr>
        <w:t xml:space="preserve">经过持续实践，</w:t>
      </w:r>
      <w:r>
        <w:rPr>
          <w:rFonts w:hint="eastAsia"/>
        </w:rPr>
        <w:t xml:space="preserve">“科研数据会诊室”</w:t>
      </w:r>
      <w:r>
        <w:rPr>
          <w:rFonts w:hint="eastAsia"/>
        </w:rPr>
        <w:t xml:space="preserve">在师生能力提升、科研项目支持和图书馆服务转型方面取得了一定成效。总体来看，成效主要体现在能力建设、个案服务、项目支持和知识沉淀四个方面，见表</w:t>
      </w:r>
      <w:r>
        <w:t xml:space="preserve"> </w:t>
      </w:r>
      <w:hyperlink w:anchor="tbl-table03">
        <w:r>
          <w:rPr>
            <w:rStyle w:val="ae"/>
          </w:rPr>
          <w:t xml:space="preserve">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5" w:name="tbl-table03"/>
          <w:p>
            <w:pPr>
              <w:jc w:val="center"/>
            </w:pPr>
            <w:pPr>
              <w:jc w:val="left"/>
              <w:spacing w:before="200"/>
              <w:pStyle w:val="ImageCaption"/>
            </w:pPr>
            <w:r>
              <w:rPr>
                <w:rFonts w:hint="eastAsia"/>
              </w:rPr>
              <w:t xml:space="preserve">表</w:t>
            </w:r>
            <w:r>
              <w:t xml:space="preserve"> 3:</w:t>
            </w:r>
            <w:r>
              <w:t xml:space="preserve"> </w:t>
            </w:r>
            <w:r>
              <w:rPr>
                <w:rFonts w:hint="eastAsia"/>
              </w:rPr>
              <w:t xml:space="preserve">“科研数据会诊室”</w:t>
            </w:r>
            <w:r>
              <w:rPr>
                <w:rFonts w:hint="eastAsia"/>
              </w:rPr>
              <w:t xml:space="preserve">实践成效</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28"/>
              <w:gridCol w:w="3456"/>
              <w:gridCol w:w="3456"/>
            </w:tblGrid>
            <w:tr>
              <w:trPr>
                <w:trHeight w:val="360"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tru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true"/>
                      <w:u w:val="none"/>
                      <w:strike w:val="false"/>
                      <w:sz w:val="21"/>
                      <w:szCs w:val="21"/>
                      <w:color w:val="000000"/>
                    </w:rPr>
                    <w:t xml:space="preserve">维度</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tru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true"/>
                      <w:u w:val="none"/>
                      <w:strike w:val="false"/>
                      <w:sz w:val="21"/>
                      <w:szCs w:val="21"/>
                      <w:color w:val="000000"/>
                    </w:rPr>
                    <w:t xml:space="preserve">具体表现</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tru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true"/>
                      <w:u w:val="none"/>
                      <w:strike w:val="false"/>
                      <w:sz w:val="21"/>
                      <w:szCs w:val="21"/>
                      <w:color w:val="000000"/>
                    </w:rPr>
                    <w:t xml:space="preserve">支撑证据</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能力建设</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2022 年以来举办培训 120 余场</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培训通知、新闻报道、反馈</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个案服务</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开展科研数据会诊 30 余次</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会诊台账、预约记录</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项目支持</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支持教师课题或研究生论文 11 项</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项目清单、合作记录、阶段性成果</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知识沉淀</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课程案例、代码仓库、在线教材</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GitHub、bookdown、图书馆网页</w:t>
                  </w:r>
                </w:p>
              </w:tc>
            </w:tr>
          </w:tbl>
          <w:bookmarkEnd w:id="35"/>
        </w:tc>
      </w:tr>
    </w:tbl>
    <w:p>
      <w:pPr>
        <w:pStyle w:val="a0"/>
      </w:pPr>
      <w:r>
        <w:rPr>
          <w:rFonts w:hint="eastAsia"/>
        </w:rPr>
        <w:t xml:space="preserve">首先，提升了师生的数据分析与统计建模意识。通过训练营和会诊服务，部分师生开始从“套用统计方法”转向“理解数据生成机制”，从“只要软件输出结果”转向“理解模型假设和结果解释边界”。这种变化有助于提高科研分析的规范性、透明度和可信度。</w:t>
      </w:r>
    </w:p>
    <w:p>
      <w:pPr>
        <w:pStyle w:val="a0"/>
      </w:pPr>
      <w:r>
        <w:rPr>
          <w:rFonts w:hint="eastAsia"/>
        </w:rPr>
        <w:t xml:space="preserve">其次，增强了图书馆嵌入科研过程的能力。传统学科服务多发生在论文写作前后的某个环节，而“科研数据会诊室”使图书馆能够进入研究设计、数据分析和结果表达等更核心的科研环节。从外围支持到深度嵌入，拓展了图书馆的角色边界。部分科研数据伴走服务情况如表</w:t>
      </w:r>
      <w:r>
        <w:t xml:space="preserve"> </w:t>
      </w:r>
      <w:hyperlink w:anchor="tbl-table04">
        <w:r>
          <w:rPr>
            <w:rStyle w:val="ae"/>
          </w:rPr>
          <w:t xml:space="preserve">4</w:t>
        </w:r>
      </w:hyperlink>
      <w:r>
        <w:t xml:space="preserve"> </w:t>
      </w:r>
      <w:r>
        <w:rPr>
          <w:rFonts w:hint="eastAsia"/>
        </w:rPr>
        <w:t xml:space="preserve">所示。</w:t>
      </w:r>
    </w:p>
    <w:tbl>
      <w:tblPr>
        <w:tblStyle w:val="Table"/>
        <w:tblW w:type="pct" w:w="5000"/>
        <w:tblLayout w:type="fixed"/>
        <w:tblLook w:firstRow="0" w:lastRow="0" w:firstColumn="0" w:lastColumn="0" w:noHBand="0" w:noVBand="0" w:val="0000"/>
      </w:tblPr>
      <w:tblGrid>
        <w:gridCol w:w="7920"/>
      </w:tblGrid>
      <w:tr>
        <w:tc>
          <w:tcPr/>
          <w:bookmarkStart w:id="36" w:name="tbl-table04"/>
          <w:p>
            <w:pPr>
              <w:jc w:val="center"/>
            </w:pPr>
            <w:pPr>
              <w:jc w:val="left"/>
              <w:spacing w:before="200"/>
              <w:pStyle w:val="ImageCaption"/>
            </w:pPr>
            <w:r>
              <w:rPr>
                <w:rFonts w:hint="eastAsia"/>
              </w:rPr>
              <w:t xml:space="preserve">表</w:t>
            </w:r>
            <w:r>
              <w:t xml:space="preserve"> 4: </w:t>
            </w:r>
            <w:r>
              <w:rPr>
                <w:rFonts w:hint="eastAsia"/>
              </w:rPr>
              <w:t xml:space="preserve">科研数据伴走服务及支持类型（部分）</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
              <w:gridCol w:w="2160"/>
              <w:gridCol w:w="2880"/>
              <w:gridCol w:w="2880"/>
            </w:tblGrid>
            <w:tr>
              <w:trPr>
                <w:trHeight w:val="360"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tru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true"/>
                      <w:u w:val="none"/>
                      <w:strike w:val="false"/>
                      <w:sz w:val="21"/>
                      <w:szCs w:val="21"/>
                      <w:color w:val="000000"/>
                    </w:rPr>
                    <w:t xml:space="preserve">编号</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tru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true"/>
                      <w:u w:val="none"/>
                      <w:strike w:val="false"/>
                      <w:sz w:val="21"/>
                      <w:szCs w:val="21"/>
                      <w:color w:val="000000"/>
                    </w:rPr>
                    <w:t xml:space="preserve">学院 / 单位</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tru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true"/>
                      <w:u w:val="none"/>
                      <w:strike w:val="false"/>
                      <w:sz w:val="21"/>
                      <w:szCs w:val="21"/>
                      <w:color w:val="000000"/>
                    </w:rPr>
                    <w:t xml:space="preserve">研究主题</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tru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true"/>
                      <w:u w:val="none"/>
                      <w:strike w:val="false"/>
                      <w:sz w:val="21"/>
                      <w:szCs w:val="21"/>
                      <w:color w:val="000000"/>
                    </w:rPr>
                    <w:t xml:space="preserve">支持类型</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历史文化与旅游学院</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从博物馆看文明互鉴</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数据整理/图表表达</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外国语学院</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AI 素养赋能英语学习</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量表设计/中介模型</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音乐学院</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课堂教学调查问卷</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问卷设计/组间比较</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心理健康中心</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心理健康与数字干预</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多层模型/干预效果分析</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经济与管理学院</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绿色金融与能源韧性</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固定效应模型/稳健性检验</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地理与资源科学学院</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空间地理建模与可视化</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BYM2/地图可视化</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教育科学学院</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教学测评</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项目反应理论</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商学院</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员工创新机理与赋能</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中介调节模型/潜变量交互</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文学院</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四川方言数据库建设</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数据组织/元数据规范</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体育学院</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可穿戴设备与场景化测评</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纵向数据分析</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数学科学学院</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长江经济带瞪羚企业</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面板数据/贝叶斯时空模型</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心理学院</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亲情感知质性研究</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质性编码/主题分析</w:t>
                  </w:r>
                </w:p>
              </w:tc>
            </w:tr>
          </w:tbl>
          <w:bookmarkEnd w:id="36"/>
        </w:tc>
      </w:tr>
    </w:tbl>
    <w:p>
      <w:pPr>
        <w:pStyle w:val="a0"/>
      </w:pPr>
      <w:r>
        <w:rPr>
          <w:rFonts w:hint="eastAsia"/>
        </w:rPr>
        <w:t xml:space="preserve">再次，形成了一批可复用的知识资产。在服务过程中积累的课程讲义、案例数据、代码模板、模型解释材料和论文方法表达框架，逐渐构成图书馆数据分析服务资源库。这些材料既可以用于后续教学和培训，也可以用于咨询服务和学科服务人员能力培养。</w:t>
      </w:r>
    </w:p>
    <w:p>
      <w:pPr>
        <w:pStyle w:val="a0"/>
      </w:pPr>
      <w:r>
        <w:rPr>
          <w:rFonts w:hint="eastAsia"/>
        </w:rPr>
        <w:t xml:space="preserve">最后，推动了图书馆学科服务品牌化和产品化建设。以“跟着</w:t>
      </w:r>
      <w:r>
        <w:t xml:space="preserve"> Nature </w:t>
      </w:r>
      <w:r>
        <w:rPr>
          <w:rFonts w:hint="eastAsia"/>
        </w:rPr>
        <w:t xml:space="preserve">学”训练营和“科研数据会诊室”为抓手，图书馆将零散的数据分析咨询转化为可识别、可传播、可持续的服务品牌。相比单次讲座，品牌化服务更容易形成读者认知，也更有利于争取学院、科研团队和管理部门的支持。</w:t>
      </w:r>
    </w:p>
    <w:bookmarkEnd w:id="37"/>
    <w:bookmarkStart w:id="43" w:name="经验总结高校图书馆学科服务的核心能力重塑"/>
    <w:p>
      <w:pPr>
        <w:pStyle w:val="1"/>
      </w:pPr>
      <w:r>
        <w:t xml:space="preserve">6. </w:t>
      </w:r>
      <w:r>
        <w:rPr>
          <w:rFonts w:hint="eastAsia"/>
        </w:rPr>
        <w:t xml:space="preserve">经验总结：高校图书馆学科服务的核心能力重塑</w:t>
      </w:r>
    </w:p>
    <w:p>
      <w:pPr>
        <w:pStyle w:val="FirstParagraph"/>
      </w:pPr>
      <w:r>
        <w:rPr>
          <w:rFonts w:hint="eastAsia"/>
        </w:rPr>
        <w:t xml:space="preserve">对高校图书馆而言，未来学科服务的核心竞争力，可能不再只是资源掌握能力，而是将资源、数据、工具和研究问题重新组织为可信知识生产流程的能力。统计建模正是连接研究问题、数据结构、方法选择和论文表达的关键中介。从本案例来看，</w:t>
      </w:r>
      <w:r>
        <w:rPr>
          <w:rFonts w:hint="eastAsia"/>
        </w:rPr>
        <w:t xml:space="preserve">“科研数据会诊室”</w:t>
      </w:r>
      <w:r>
        <w:rPr>
          <w:rFonts w:hint="eastAsia"/>
        </w:rPr>
        <w:t xml:space="preserve">对图书馆学科服务核心能力的重塑，主要体现在以下五个方面。</w:t>
      </w:r>
    </w:p>
    <w:bookmarkStart w:id="38" w:name="重塑开放科学资源转译能力"/>
    <w:p>
      <w:pPr>
        <w:pStyle w:val="2"/>
      </w:pPr>
      <w:r>
        <w:t xml:space="preserve">6.1 </w:t>
      </w:r>
      <w:r>
        <w:rPr>
          <w:rFonts w:hint="eastAsia"/>
        </w:rPr>
        <w:t xml:space="preserve">重塑开放科学资源转译能力</w:t>
      </w:r>
    </w:p>
    <w:p>
      <w:pPr>
        <w:pStyle w:val="FirstParagraph"/>
      </w:pPr>
      <w:r>
        <w:rPr>
          <w:rFonts w:hint="eastAsia"/>
        </w:rPr>
        <w:t xml:space="preserve">开放科学为图书馆提供了新的服务入口。过去，图书馆主要帮助读者发现和获取文献；现在，图书馆还可以帮助读者发现、理解和复用开放数据与开放代码。开放科学资源本身并不会自动转化为科研能力，图书馆需要发挥资源组织和教育转化优势，将顶刊论文中的数据、代码和分析流程转化为可教学、可复现、可迁移的本地案例。</w:t>
      </w:r>
    </w:p>
    <w:bookmarkEnd w:id="38"/>
    <w:bookmarkStart w:id="39" w:name="重塑科研问题建模能力"/>
    <w:p>
      <w:pPr>
        <w:pStyle w:val="2"/>
      </w:pPr>
      <w:r>
        <w:t xml:space="preserve">6.2 </w:t>
      </w:r>
      <w:r>
        <w:rPr>
          <w:rFonts w:hint="eastAsia"/>
        </w:rPr>
        <w:t xml:space="preserve">重塑科研问题建模能力</w:t>
      </w:r>
    </w:p>
    <w:p>
      <w:pPr>
        <w:pStyle w:val="FirstParagraph"/>
      </w:pPr>
      <w:r>
        <w:rPr>
          <w:rFonts w:hint="eastAsia"/>
        </w:rPr>
        <w:t xml:space="preserve">科研数据会诊的关键，不在于掌握某一个软件，而在于能够理解研究者的问题，并将其转化为合适的数据结构和模型框架。对于图书馆学科服务人员而言，未来需要具备一定的数据素养、统计建模素养和跨学科沟通能力，能够在研究问题、数据类型、模型假设和论文表达之间建立联系。</w:t>
      </w:r>
    </w:p>
    <w:bookmarkEnd w:id="39"/>
    <w:bookmarkStart w:id="40" w:name="重塑可重复研究组织能力"/>
    <w:p>
      <w:pPr>
        <w:pStyle w:val="2"/>
      </w:pPr>
      <w:r>
        <w:t xml:space="preserve">6.3 </w:t>
      </w:r>
      <w:r>
        <w:rPr>
          <w:rFonts w:hint="eastAsia"/>
        </w:rPr>
        <w:t xml:space="preserve">重塑可重复研究组织能力</w:t>
      </w:r>
    </w:p>
    <w:p>
      <w:pPr>
        <w:pStyle w:val="FirstParagraph"/>
      </w:pPr>
      <w:r>
        <w:rPr>
          <w:rFonts w:hint="eastAsia"/>
        </w:rPr>
        <w:t xml:space="preserve">可重复研究是开放科学的重要组成部分。图书馆可以通过项目文件规范、数据管理、代码组织、版本记录和结果归档等方式，帮助科研人员建立更加规范的研究流程。</w:t>
      </w:r>
      <w:r>
        <w:rPr>
          <w:rFonts w:hint="eastAsia"/>
        </w:rPr>
        <w:t xml:space="preserve">“科研数据会诊室”</w:t>
      </w:r>
      <w:r>
        <w:rPr>
          <w:rFonts w:hint="eastAsia"/>
        </w:rPr>
        <w:t xml:space="preserve">如果能够将每一次咨询沉淀为可复用模板，就能从个案服务走向知识资产建设。</w:t>
      </w:r>
    </w:p>
    <w:bookmarkEnd w:id="40"/>
    <w:bookmarkStart w:id="41" w:name="重塑跨学科协同能力"/>
    <w:p>
      <w:pPr>
        <w:pStyle w:val="2"/>
      </w:pPr>
      <w:r>
        <w:t xml:space="preserve">6.4 </w:t>
      </w:r>
      <w:r>
        <w:rPr>
          <w:rFonts w:hint="eastAsia"/>
        </w:rPr>
        <w:t xml:space="preserve">重塑跨学科协同能力</w:t>
      </w:r>
    </w:p>
    <w:p>
      <w:pPr>
        <w:pStyle w:val="FirstParagraph"/>
      </w:pPr>
      <w:r>
        <w:rPr>
          <w:rFonts w:hint="eastAsia"/>
        </w:rPr>
        <w:t xml:space="preserve">高校科研问题高度多样，单一学科背景很难覆盖所有需求。图书馆学科服务人员虽然未必成为每个学科的专家，但可以成为研究者、数据、模型和工具之间的连接者。通过“问题转译”，图书馆能够在不同学科之间搭建沟通桥梁，帮助研究者把模糊问题转化为可分析问题，把经验判断转化为模型表达。</w:t>
      </w:r>
    </w:p>
    <w:bookmarkEnd w:id="41"/>
    <w:bookmarkStart w:id="42" w:name="重塑服务产品化能力"/>
    <w:p>
      <w:pPr>
        <w:pStyle w:val="2"/>
      </w:pPr>
      <w:r>
        <w:t xml:space="preserve">6.5 </w:t>
      </w:r>
      <w:r>
        <w:rPr>
          <w:rFonts w:hint="eastAsia"/>
        </w:rPr>
        <w:t xml:space="preserve">重塑服务产品化能力</w:t>
      </w:r>
    </w:p>
    <w:p>
      <w:pPr>
        <w:pStyle w:val="FirstParagraph"/>
      </w:pPr>
      <w:r>
        <w:rPr>
          <w:rFonts w:hint="eastAsia"/>
        </w:rPr>
        <w:t xml:space="preserve">可持续的学科服务不能仅依靠个人热情和零散咨询，而应逐渐形成服务产品。训练营、会诊室、案例库、模板库、服务指南和预约机制，都是服务产品化的重要形式。通过产品化设计，图书馆可以提高服务识别度、稳定性和可复制性，也有助于向学校管理层和学院展示服务价值，并为未来探索项目化、定制化和持续性科研支持服务奠定基础。</w:t>
      </w:r>
    </w:p>
    <w:p>
      <w:pPr>
        <w:pStyle w:val="a0"/>
      </w:pPr>
      <w:r>
        <w:rPr>
          <w:rFonts w:hint="eastAsia"/>
        </w:rPr>
        <w:t xml:space="preserve">总体而言，</w:t>
      </w:r>
      <w:r>
        <w:rPr>
          <w:rFonts w:hint="eastAsia"/>
        </w:rPr>
        <w:t xml:space="preserve">“科研数据会诊室”</w:t>
      </w:r>
      <w:r>
        <w:rPr>
          <w:rFonts w:hint="eastAsia"/>
        </w:rPr>
        <w:t xml:space="preserve">的经验表明，高校图书馆学科服务的能力重塑，并不是简单引入新工具，也不是单纯增加培训场次，而是围绕真实科研问题重新组织资源、数据、工具、模型和表达方式。其核心，是把开放科学资源转化为本地能力，把</w:t>
      </w:r>
      <w:r>
        <w:t xml:space="preserve"> AI </w:t>
      </w:r>
      <w:r>
        <w:rPr>
          <w:rFonts w:hint="eastAsia"/>
        </w:rPr>
        <w:t xml:space="preserve">协作工具转化为效率支撑，把统计建模能力转化为科研过程协同能力。</w:t>
      </w:r>
    </w:p>
    <w:bookmarkEnd w:id="42"/>
    <w:bookmarkEnd w:id="43"/>
    <w:bookmarkStart w:id="44" w:name="结语"/>
    <w:p>
      <w:pPr>
        <w:pStyle w:val="1"/>
      </w:pPr>
      <w:r>
        <w:t xml:space="preserve">7. </w:t>
      </w:r>
      <w:r>
        <w:rPr>
          <w:rFonts w:hint="eastAsia"/>
        </w:rPr>
        <w:t xml:space="preserve">结语</w:t>
      </w:r>
    </w:p>
    <w:p>
      <w:pPr>
        <w:pStyle w:val="FirstParagraph"/>
      </w:pPr>
      <w:r>
        <w:rPr>
          <w:rFonts w:hint="eastAsia"/>
        </w:rPr>
        <w:t xml:space="preserve">“科研数据会诊室”</w:t>
      </w:r>
      <w:r>
        <w:rPr>
          <w:rFonts w:hint="eastAsia"/>
        </w:rPr>
        <w:t xml:space="preserve">的实践表明，在开放科学与</w:t>
      </w:r>
      <w:r>
        <w:t xml:space="preserve"> AI for Science </w:t>
      </w:r>
      <w:r>
        <w:rPr>
          <w:rFonts w:hint="eastAsia"/>
        </w:rPr>
        <w:t xml:space="preserve">时代，高校图书馆完全有能力依托资源组织、学科联络和用户教育优势，将外部开放资源、智能工具和统计建模方法转化为内部核心能力，主动嵌入科研全流程，为可信知识生产提供支撑。</w:t>
      </w:r>
    </w:p>
    <w:p>
      <w:pPr>
        <w:pStyle w:val="a0"/>
      </w:pPr>
      <w:r>
        <w:rPr>
          <w:rFonts w:hint="eastAsia"/>
        </w:rPr>
        <w:t xml:space="preserve">从更深层次看，图书馆知识服务的价值正在从“帮助研究者找到知识”延伸为“帮助研究者生产可信知识”。这也意味着，高校图书馆学科服务的未来方向，不应停留在资源供给和工具培训，而应进一步走向方法支持、过程协同和知识创造。</w:t>
      </w:r>
    </w:p>
    <w:p>
      <w:pPr>
        <w:pStyle w:val="a0"/>
      </w:pPr>
      <w:r>
        <w:rPr>
          <w:rFonts w:hint="eastAsia"/>
        </w:rPr>
        <w:t xml:space="preserve">“科研数据会诊室”</w:t>
      </w:r>
      <w:r>
        <w:rPr>
          <w:rFonts w:hint="eastAsia"/>
        </w:rPr>
        <w:t xml:space="preserve">只是这一转型路径中的一种探索。未来，还可以进一步完善服务台账和效果评价机制，建设跨学科专家协同网络，形成更多标准化案例模板和</w:t>
      </w:r>
      <w:r>
        <w:t xml:space="preserve"> AI </w:t>
      </w:r>
      <w:r>
        <w:rPr>
          <w:rFonts w:hint="eastAsia"/>
        </w:rPr>
        <w:t xml:space="preserve">辅助会诊流程，并与学校科研管理、研究生培养和学院学科建设深度结合。通过持续积累，高校图书馆有望在开放科学背景下形成具有自身特色的科研支持体系，为学校科研创新和人才培养提供更加深入、前瞻和不可替代的知识服务支撑。</w:t>
      </w:r>
    </w:p>
    <w:p>
      <w:r>
        <w:br w:type="page"/>
      </w:r>
    </w:p>
    <w:bookmarkEnd w:id="44"/>
    <w:bookmarkStart w:id="46" w:name="支撑材料"/>
    <w:p>
      <w:pPr>
        <w:pStyle w:val="1"/>
      </w:pPr>
      <w:r>
        <w:rPr>
          <w:rFonts w:hint="eastAsia"/>
        </w:rPr>
        <w:t xml:space="preserve">支撑材料</w:t>
      </w:r>
    </w:p>
    <w:tbl>
      <w:tblPr>
        <w:tblStyle w:val="Table"/>
        <w:tblW w:type="pct" w:w="5000"/>
        <w:tblLayout w:type="fixed"/>
        <w:tblLook w:firstRow="0" w:lastRow="0" w:firstColumn="0" w:lastColumn="0" w:noHBand="0" w:noVBand="0" w:val="0000"/>
      </w:tblPr>
      <w:tblGrid>
        <w:gridCol w:w="7920"/>
      </w:tblGrid>
      <w:tr>
        <w:tc>
          <w:tcPr/>
          <w:bookmarkStart w:id="45" w:name="tbl-app"/>
          <w:p>
            <w:pPr>
              <w:jc w:val="center"/>
            </w:pPr>
            <w:pPr>
              <w:jc w:val="left"/>
              <w:spacing w:before="200"/>
              <w:pStyle w:val="ImageCaption"/>
            </w:pPr>
            <w:r>
              <w:rPr>
                <w:rFonts w:hint="eastAsia"/>
              </w:rPr>
              <w:t xml:space="preserve">表</w:t>
            </w:r>
            <w:r>
              <w:t xml:space="preserve"> 5: </w:t>
            </w:r>
            <w:r>
              <w:rPr>
                <w:rFonts w:hint="eastAsia"/>
              </w:rPr>
              <w:t xml:space="preserve">支撑材料清单</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64"/>
              <w:gridCol w:w="2592"/>
              <w:gridCol w:w="5184"/>
            </w:tblGrid>
            <w:tr>
              <w:trPr>
                <w:trHeight w:val="360"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tru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true"/>
                      <w:u w:val="none"/>
                      <w:strike w:val="false"/>
                      <w:sz w:val="21"/>
                      <w:szCs w:val="21"/>
                      <w:color w:val="000000"/>
                    </w:rPr>
                    <w:t xml:space="preserve">序号</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tru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true"/>
                      <w:u w:val="none"/>
                      <w:strike w:val="false"/>
                      <w:sz w:val="21"/>
                      <w:szCs w:val="21"/>
                      <w:color w:val="000000"/>
                    </w:rPr>
                    <w:t xml:space="preserve">材料名称</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tru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true"/>
                      <w:u w:val="none"/>
                      <w:strike w:val="false"/>
                      <w:sz w:val="21"/>
                      <w:szCs w:val="21"/>
                      <w:color w:val="000000"/>
                    </w:rPr>
                    <w:t xml:space="preserve">链接</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材料 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开放课程与 GitHub 代码仓库</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https://github.com/perlatex</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材料 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自编在线教材</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https://bookdown.org/wangminjie/R4DS/</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材料 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四川师范大学图书馆主页《顶刊论文复现》培训报道</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https://lib.sicnu.edu.cn/navigation/web_list1?c_id=493300E5-21C4-B5D5-F156-CCB9BF2C7D2B&amp;cataID=1yoI6LsHraDItEc&amp;vp=1-d14c-a2fe-navigation-79db-10ad</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材料 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四川师范大学图书馆主页《科研数据会诊》相关栏目</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https://lib.sicnu.edu.cn/navigation/web_detailspage1?id=BtQdh6QubfTBXHFL&amp;c_id=493300E5-21C4-B5D5-F156-CCB9BF2C7D2B&amp;cataID=PRXD6QubdnCfhZi</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材料 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典型会诊案例（方法论部分）</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https://github.com/perlatex/research-data-clinic/case</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材料 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本文档的 Quarto 源文件与补充材料</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宋体" w:hAnsi="Arial" w:eastAsia="Arial" w:cs="Arial"/>
                      <w:i w:val="false"/>
                      <w:b w:val="false"/>
                      <w:u w:val="none"/>
                      <w:strike w:val="false"/>
                      <w:sz w:val="21"/>
                      <w:szCs w:val="21"/>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宋体" w:hAnsi="Arial" w:eastAsia="Arial" w:cs="Arial"/>
                      <w:i w:val="false"/>
                      <w:b w:val="false"/>
                      <w:u w:val="none"/>
                      <w:strike w:val="false"/>
                      <w:sz w:val="21"/>
                      <w:szCs w:val="21"/>
                      <w:color w:val="000000"/>
                    </w:rPr>
                    <w:t xml:space="preserve">https://github.com/perlatex/research-data-clinic</w:t>
                  </w:r>
                </w:p>
              </w:tc>
            </w:tr>
          </w:tbl>
          <w:bookmarkEnd w:id="45"/>
        </w:tc>
      </w:tr>
    </w:tbl>
    <w:bookmarkEnd w:id="46"/>
    <w:sectPr w:rsidR="00CB0E17">
      <w:footerReference r:id="rId9" w:type="default"/>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7396160"/>
      <w:docPartObj>
        <w:docPartGallery w:val="Page Numbers (Bottom of Page)"/>
        <w:docPartUnique/>
      </w:docPartObj>
    </w:sdtPr>
    <w:sdtContent>
      <w:p w14:paraId="47563D6E" w14:textId="7F27DC0A" w:rsidR="004B5B5C" w:rsidRDefault="004B5B5C">
        <w:pPr>
          <w:pStyle w:val="af1"/>
          <w:jc w:val="center"/>
        </w:pPr>
        <w:r>
          <w:fldChar w:fldCharType="begin"/>
        </w:r>
        <w:r>
          <w:instrText>PAGE   \* MERGEFORMAT</w:instrText>
        </w:r>
        <w:r>
          <w:fldChar w:fldCharType="separate"/>
        </w:r>
        <w:r>
          <w:rPr>
            <w:lang w:val="zh-CN" w:eastAsia="zh-CN"/>
          </w:rPr>
          <w:t>2</w:t>
        </w:r>
        <w:r>
          <w:fldChar w:fldCharType="end"/>
        </w:r>
      </w:p>
    </w:sdtContent>
  </w:sdt>
  <w:p w14:paraId="77D23FFD" w14:textId="77777777" w:rsidR="004B5B5C" w:rsidRDefault="004B5B5C">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F692FEC0"/>
    <w:lvl w:ilvl="0">
      <w:start w:val="1"/>
      <w:numFmt w:val="decimal"/>
      <w:lvlText w:val="%1."/>
      <w:lvlJc w:val="left"/>
      <w:pPr>
        <w:tabs>
          <w:tab w:pos="2040" w:val="num"/>
        </w:tabs>
        <w:ind w:hanging="360" w:hangingChars="200" w:left="2040" w:leftChars="800"/>
      </w:pPr>
    </w:lvl>
  </w:abstractNum>
  <w:abstractNum w15:restartNumberingAfterBreak="0" w:abstractNumId="1">
    <w:nsid w:val="FFFFFF7D"/>
    <w:multiLevelType w:val="singleLevel"/>
    <w:tmpl w:val="F37C93B6"/>
    <w:lvl w:ilvl="0">
      <w:start w:val="1"/>
      <w:numFmt w:val="decimal"/>
      <w:lvlText w:val="%1."/>
      <w:lvlJc w:val="left"/>
      <w:pPr>
        <w:tabs>
          <w:tab w:pos="1620" w:val="num"/>
        </w:tabs>
        <w:ind w:hanging="360" w:hangingChars="200" w:left="1620" w:leftChars="600"/>
      </w:pPr>
    </w:lvl>
  </w:abstractNum>
  <w:abstractNum w15:restartNumberingAfterBreak="0" w:abstractNumId="2">
    <w:nsid w:val="FFFFFF7E"/>
    <w:multiLevelType w:val="singleLevel"/>
    <w:tmpl w:val="212623E0"/>
    <w:lvl w:ilvl="0">
      <w:start w:val="1"/>
      <w:numFmt w:val="decimal"/>
      <w:lvlText w:val="%1."/>
      <w:lvlJc w:val="left"/>
      <w:pPr>
        <w:tabs>
          <w:tab w:pos="1200" w:val="num"/>
        </w:tabs>
        <w:ind w:hanging="360" w:hangingChars="200" w:left="1200" w:leftChars="400"/>
      </w:pPr>
    </w:lvl>
  </w:abstractNum>
  <w:abstractNum w15:restartNumberingAfterBreak="0" w:abstractNumId="3">
    <w:nsid w:val="FFFFFF7F"/>
    <w:multiLevelType w:val="singleLevel"/>
    <w:tmpl w:val="8030441A"/>
    <w:lvl w:ilvl="0">
      <w:start w:val="1"/>
      <w:numFmt w:val="decimal"/>
      <w:lvlText w:val="%1."/>
      <w:lvlJc w:val="left"/>
      <w:pPr>
        <w:tabs>
          <w:tab w:pos="780" w:val="num"/>
        </w:tabs>
        <w:ind w:hanging="360" w:hangingChars="200" w:left="780" w:leftChars="200"/>
      </w:pPr>
    </w:lvl>
  </w:abstractNum>
  <w:abstractNum w15:restartNumberingAfterBreak="0" w:abstractNumId="4">
    <w:nsid w:val="FFFFFF80"/>
    <w:multiLevelType w:val="singleLevel"/>
    <w:tmpl w:val="40988DFE"/>
    <w:lvl w:ilvl="0">
      <w:start w:val="1"/>
      <w:numFmt w:val="bullet"/>
      <w:lvlText w:val=""/>
      <w:lvlJc w:val="left"/>
      <w:pPr>
        <w:tabs>
          <w:tab w:pos="2040" w:val="num"/>
        </w:tabs>
        <w:ind w:hanging="360" w:hangingChars="200" w:left="2040" w:leftChars="800"/>
      </w:pPr>
      <w:rPr>
        <w:rFonts w:ascii="Wingdings" w:hAnsi="Wingdings" w:hint="default"/>
      </w:rPr>
    </w:lvl>
  </w:abstractNum>
  <w:abstractNum w15:restartNumberingAfterBreak="0" w:abstractNumId="5">
    <w:nsid w:val="FFFFFF81"/>
    <w:multiLevelType w:val="singleLevel"/>
    <w:tmpl w:val="63C4F114"/>
    <w:lvl w:ilvl="0">
      <w:start w:val="1"/>
      <w:numFmt w:val="bullet"/>
      <w:lvlText w:val=""/>
      <w:lvlJc w:val="left"/>
      <w:pPr>
        <w:tabs>
          <w:tab w:pos="1620" w:val="num"/>
        </w:tabs>
        <w:ind w:hanging="360" w:hangingChars="200" w:left="1620" w:leftChars="600"/>
      </w:pPr>
      <w:rPr>
        <w:rFonts w:ascii="Wingdings" w:hAnsi="Wingdings" w:hint="default"/>
      </w:rPr>
    </w:lvl>
  </w:abstractNum>
  <w:abstractNum w15:restartNumberingAfterBreak="0" w:abstractNumId="6">
    <w:nsid w:val="FFFFFF82"/>
    <w:multiLevelType w:val="singleLevel"/>
    <w:tmpl w:val="9C2E2328"/>
    <w:lvl w:ilvl="0">
      <w:start w:val="1"/>
      <w:numFmt w:val="bullet"/>
      <w:lvlText w:val=""/>
      <w:lvlJc w:val="left"/>
      <w:pPr>
        <w:tabs>
          <w:tab w:pos="1200" w:val="num"/>
        </w:tabs>
        <w:ind w:hanging="360" w:hangingChars="200" w:left="1200" w:leftChars="400"/>
      </w:pPr>
      <w:rPr>
        <w:rFonts w:ascii="Wingdings" w:hAnsi="Wingdings" w:hint="default"/>
      </w:rPr>
    </w:lvl>
  </w:abstractNum>
  <w:abstractNum w15:restartNumberingAfterBreak="0" w:abstractNumId="7">
    <w:nsid w:val="FFFFFF83"/>
    <w:multiLevelType w:val="singleLevel"/>
    <w:tmpl w:val="30907976"/>
    <w:lvl w:ilvl="0">
      <w:start w:val="1"/>
      <w:numFmt w:val="bullet"/>
      <w:lvlText w:val=""/>
      <w:lvlJc w:val="left"/>
      <w:pPr>
        <w:tabs>
          <w:tab w:pos="780" w:val="num"/>
        </w:tabs>
        <w:ind w:hanging="360" w:hangingChars="200" w:left="780" w:leftChars="200"/>
      </w:pPr>
      <w:rPr>
        <w:rFonts w:ascii="Wingdings" w:hAnsi="Wingdings" w:hint="default"/>
      </w:rPr>
    </w:lvl>
  </w:abstractNum>
  <w:abstractNum w15:restartNumberingAfterBreak="0" w:abstractNumId="8">
    <w:nsid w:val="FFFFFF88"/>
    <w:multiLevelType w:val="singleLevel"/>
    <w:tmpl w:val="F5C88140"/>
    <w:lvl w:ilvl="0">
      <w:start w:val="1"/>
      <w:numFmt w:val="decimal"/>
      <w:lvlText w:val="%1."/>
      <w:lvlJc w:val="left"/>
      <w:pPr>
        <w:tabs>
          <w:tab w:pos="360" w:val="num"/>
        </w:tabs>
        <w:ind w:hanging="360" w:hangingChars="200" w:left="360"/>
      </w:pPr>
    </w:lvl>
  </w:abstractNum>
  <w:abstractNum w15:restartNumberingAfterBreak="0" w:abstractNumId="9">
    <w:nsid w:val="FFFFFF89"/>
    <w:multiLevelType w:val="singleLevel"/>
    <w:tmpl w:val="982A18BC"/>
    <w:lvl w:ilvl="0">
      <w:start w:val="1"/>
      <w:numFmt w:val="bullet"/>
      <w:lvlText w:val=""/>
      <w:lvlJc w:val="left"/>
      <w:pPr>
        <w:tabs>
          <w:tab w:pos="360" w:val="num"/>
        </w:tabs>
        <w:ind w:hanging="360" w:hangingChars="200" w:left="360"/>
      </w:pPr>
      <w:rPr>
        <w:rFonts w:ascii="Wingdings" w:hAnsi="Wingdings" w:hint="default"/>
      </w:rPr>
    </w:lvl>
  </w:abstractNum>
  <w:abstractNum w15:restartNumberingAfterBreak="0" w:abstractNumId="10">
    <w:nsid w:val="43EC708C"/>
    <w:multiLevelType w:val="multilevel"/>
    <w:tmpl w:val="04090025"/>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pStyle w:val="5"/>
      <w:lvlText w:val="%1.%2.%3.%4.%5"/>
      <w:lvlJc w:val="left"/>
      <w:pPr>
        <w:ind w:hanging="1008" w:left="1008"/>
      </w:pPr>
    </w:lvl>
    <w:lvl w:ilvl="5">
      <w:start w:val="1"/>
      <w:numFmt w:val="decimal"/>
      <w:pStyle w:val="6"/>
      <w:lvlText w:val="%1.%2.%3.%4.%5.%6"/>
      <w:lvlJc w:val="left"/>
      <w:pPr>
        <w:ind w:hanging="1152" w:left="1152"/>
      </w:pPr>
    </w:lvl>
    <w:lvl w:ilvl="6">
      <w:start w:val="1"/>
      <w:numFmt w:val="decimal"/>
      <w:pStyle w:val="7"/>
      <w:lvlText w:val="%1.%2.%3.%4.%5.%6.%7"/>
      <w:lvlJc w:val="left"/>
      <w:pPr>
        <w:ind w:hanging="1296" w:left="1296"/>
      </w:pPr>
    </w:lvl>
    <w:lvl w:ilvl="7">
      <w:start w:val="1"/>
      <w:numFmt w:val="decimal"/>
      <w:pStyle w:val="8"/>
      <w:lvlText w:val="%1.%2.%3.%4.%5.%6.%7.%8"/>
      <w:lvlJc w:val="left"/>
      <w:pPr>
        <w:ind w:hanging="1440" w:left="1440"/>
      </w:pPr>
    </w:lvl>
    <w:lvl w:ilvl="8">
      <w:start w:val="1"/>
      <w:numFmt w:val="decimal"/>
      <w:pStyle w:val="9"/>
      <w:lvlText w:val="%1.%2.%3.%4.%5.%6.%7.%8.%9"/>
      <w:lvlJc w:val="left"/>
      <w:pPr>
        <w:ind w:hanging="1584" w:left="1584"/>
      </w:pPr>
    </w:lvl>
  </w:abstractNum>
  <w:abstractNum w15:restartNumberingAfterBreak="0" w:abstractNumId="11">
    <w:nsid w:val="497E2980"/>
    <w:multiLevelType w:val="hybridMultilevel"/>
    <w:tmpl w:val="DA382716"/>
    <w:lvl w:ilvl="0" w:tplc="96CEEE36">
      <w:start w:val="1"/>
      <w:numFmt w:val="decimal"/>
      <w:lvlText w:val="%1"/>
      <w:lvlJc w:val="center"/>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512233644" w:numId="1">
    <w:abstractNumId w:val="11"/>
  </w:num>
  <w:num w16cid:durableId="181164089" w:numId="2">
    <w:abstractNumId w:val="8"/>
  </w:num>
  <w:num w16cid:durableId="242497850" w:numId="3">
    <w:abstractNumId w:val="3"/>
  </w:num>
  <w:num w16cid:durableId="190650466" w:numId="4">
    <w:abstractNumId w:val="2"/>
  </w:num>
  <w:num w16cid:durableId="1477917761" w:numId="5">
    <w:abstractNumId w:val="1"/>
  </w:num>
  <w:num w16cid:durableId="338046225" w:numId="6">
    <w:abstractNumId w:val="0"/>
  </w:num>
  <w:num w16cid:durableId="794447875" w:numId="7">
    <w:abstractNumId w:val="9"/>
  </w:num>
  <w:num w16cid:durableId="1344279766" w:numId="8">
    <w:abstractNumId w:val="7"/>
  </w:num>
  <w:num w16cid:durableId="1521898285" w:numId="9">
    <w:abstractNumId w:val="6"/>
  </w:num>
  <w:num w16cid:durableId="423260003" w:numId="10">
    <w:abstractNumId w:val="5"/>
  </w:num>
  <w:num w16cid:durableId="1017731271" w:numId="11">
    <w:abstractNumId w:val="4"/>
  </w:num>
  <w:num w16cid:durableId="1308238576" w:numId="12">
    <w:abstractNumId w:val="8"/>
  </w:num>
  <w:num w16cid:durableId="1981381121" w:numId="13">
    <w:abstractNumId w:val="3"/>
  </w:num>
  <w:num w16cid:durableId="1036202054" w:numId="14">
    <w:abstractNumId w:val="2"/>
  </w:num>
  <w:num w16cid:durableId="739864068" w:numId="15">
    <w:abstractNumId w:val="1"/>
  </w:num>
  <w:num w16cid:durableId="1857845362" w:numId="16">
    <w:abstractNumId w:val="0"/>
  </w:num>
  <w:num w16cid:durableId="700669636" w:numId="17">
    <w:abstractNumId w:val="9"/>
  </w:num>
  <w:num w16cid:durableId="559632962" w:numId="18">
    <w:abstractNumId w:val="7"/>
  </w:num>
  <w:num w16cid:durableId="739520505" w:numId="19">
    <w:abstractNumId w:val="6"/>
  </w:num>
  <w:num w16cid:durableId="1705402988" w:numId="20">
    <w:abstractNumId w:val="5"/>
  </w:num>
  <w:num w16cid:durableId="717171381" w:numId="21">
    <w:abstractNumId w:val="4"/>
  </w:num>
  <w:num w16cid:durableId="1804889301" w:numId="22">
    <w:abstractNumId w:val="8"/>
  </w:num>
  <w:num w16cid:durableId="748891320" w:numId="23">
    <w:abstractNumId w:val="3"/>
  </w:num>
  <w:num w16cid:durableId="853232541" w:numId="24">
    <w:abstractNumId w:val="2"/>
  </w:num>
  <w:num w16cid:durableId="990720836" w:numId="25">
    <w:abstractNumId w:val="1"/>
  </w:num>
  <w:num w16cid:durableId="1482035460" w:numId="26">
    <w:abstractNumId w:val="0"/>
  </w:num>
  <w:num w16cid:durableId="215317253" w:numId="27">
    <w:abstractNumId w:val="9"/>
  </w:num>
  <w:num w16cid:durableId="916524746" w:numId="28">
    <w:abstractNumId w:val="7"/>
  </w:num>
  <w:num w16cid:durableId="1151673668" w:numId="29">
    <w:abstractNumId w:val="6"/>
  </w:num>
  <w:num w16cid:durableId="647322300" w:numId="30">
    <w:abstractNumId w:val="5"/>
  </w:num>
  <w:num w16cid:durableId="1531800483" w:numId="31">
    <w:abstractNumId w:val="4"/>
  </w:num>
  <w:num w16cid:durableId="282689285" w:numId="32">
    <w:abstractNumId w:val="1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83DC5"/>
    <w:rsid w:val="000630F4"/>
    <w:rsid w:val="000A1681"/>
    <w:rsid w:val="00182A09"/>
    <w:rsid w:val="00197E33"/>
    <w:rsid w:val="001C2FA8"/>
    <w:rsid w:val="00284BED"/>
    <w:rsid w:val="002B292E"/>
    <w:rsid w:val="00372973"/>
    <w:rsid w:val="00380E6E"/>
    <w:rsid w:val="0042393D"/>
    <w:rsid w:val="00427001"/>
    <w:rsid w:val="004B5B5C"/>
    <w:rsid w:val="005235CF"/>
    <w:rsid w:val="00530047"/>
    <w:rsid w:val="00546D03"/>
    <w:rsid w:val="005667B8"/>
    <w:rsid w:val="00571190"/>
    <w:rsid w:val="005E0FD0"/>
    <w:rsid w:val="006002B8"/>
    <w:rsid w:val="00621534"/>
    <w:rsid w:val="00672ACB"/>
    <w:rsid w:val="006B1F4C"/>
    <w:rsid w:val="00783DC5"/>
    <w:rsid w:val="007C593E"/>
    <w:rsid w:val="007C6442"/>
    <w:rsid w:val="007D4C44"/>
    <w:rsid w:val="00812BBC"/>
    <w:rsid w:val="008D340B"/>
    <w:rsid w:val="00981AFA"/>
    <w:rsid w:val="009E49B1"/>
    <w:rsid w:val="00AC25FA"/>
    <w:rsid w:val="00AC47C7"/>
    <w:rsid w:val="00B72334"/>
    <w:rsid w:val="00B73EF0"/>
    <w:rsid w:val="00B94C1B"/>
    <w:rsid w:val="00BA4577"/>
    <w:rsid w:val="00BD5E06"/>
    <w:rsid w:val="00C616BC"/>
    <w:rsid w:val="00C65F2F"/>
    <w:rsid w:val="00CB06C3"/>
    <w:rsid w:val="00CB0E17"/>
    <w:rsid w:val="00CE294E"/>
    <w:rsid w:val="00D03F4A"/>
    <w:rsid w:val="00D5660F"/>
    <w:rsid w:val="00D85347"/>
    <w:rsid w:val="00DA341B"/>
    <w:rsid w:val="00DD6793"/>
    <w:rsid w:val="00ED5767"/>
    <w:rsid w:val="00EF7107"/>
    <w:rsid w:val="00F0014E"/>
    <w:rsid w:val="00F026DC"/>
    <w:rsid w:val="00F47DAB"/>
    <w:rsid w:val="00F5653E"/>
    <w:rsid w:val="00F62718"/>
    <w:rsid w:val="00F63753"/>
    <w:rsid w:val="00FF6E49"/>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5667B8"/>
  </w:style>
  <w:style w:styleId="1" w:type="paragraph">
    <w:name w:val="heading 1"/>
    <w:basedOn w:val="a"/>
    <w:next w:val="a0"/>
    <w:link w:val="10"/>
    <w:uiPriority w:val="9"/>
    <w:qFormat/>
    <w:rsid w:val="00380E6E"/>
    <w:pPr>
      <w:keepNext/>
      <w:keepLines/>
      <w:spacing w:after="120" w:before="600"/>
      <w:outlineLvl w:val="0"/>
    </w:pPr>
    <w:rPr>
      <w:rFonts w:asciiTheme="majorHAnsi" w:cstheme="majorBidi" w:eastAsiaTheme="majorEastAsia" w:hAnsiTheme="majorHAnsi"/>
      <w:b/>
      <w:bCs/>
      <w:color w:val="000000"/>
      <w:sz w:val="32"/>
      <w:szCs w:val="32"/>
    </w:rPr>
  </w:style>
  <w:style w:styleId="2" w:type="paragraph">
    <w:name w:val="heading 2"/>
    <w:basedOn w:val="a"/>
    <w:next w:val="a0"/>
    <w:uiPriority w:val="9"/>
    <w:unhideWhenUsed/>
    <w:qFormat/>
    <w:rsid w:val="00380E6E"/>
    <w:pPr>
      <w:keepNext/>
      <w:keepLines/>
      <w:spacing w:after="0"/>
      <w:ind w:right="57"/>
      <w:outlineLvl w:val="1"/>
    </w:pPr>
    <w:rPr>
      <w:rFonts w:asciiTheme="majorHAnsi" w:cstheme="majorBidi" w:eastAsiaTheme="majorEastAsia" w:hAnsiTheme="majorHAnsi"/>
      <w:b/>
      <w:bCs/>
      <w:color w:val="000000"/>
      <w:sz w:val="28"/>
      <w:szCs w:val="28"/>
    </w:rPr>
  </w:style>
  <w:style w:styleId="3" w:type="paragraph">
    <w:name w:val="heading 3"/>
    <w:basedOn w:val="a"/>
    <w:next w:val="a0"/>
    <w:uiPriority w:val="9"/>
    <w:unhideWhenUsed/>
    <w:qFormat/>
    <w:rsid w:val="00380E6E"/>
    <w:pPr>
      <w:keepNext/>
      <w:keepLines/>
      <w:spacing w:after="0" w:before="200"/>
      <w:outlineLvl w:val="2"/>
    </w:pPr>
    <w:rPr>
      <w:rFonts w:asciiTheme="majorHAnsi" w:cstheme="majorBidi" w:eastAsiaTheme="majorEastAsia" w:hAnsiTheme="majorHAnsi"/>
      <w:b/>
      <w:bCs/>
      <w:color w:val="000000"/>
    </w:rPr>
  </w:style>
  <w:style w:styleId="4" w:type="paragraph">
    <w:name w:val="heading 4"/>
    <w:basedOn w:val="a"/>
    <w:next w:val="a0"/>
    <w:uiPriority w:val="9"/>
    <w:unhideWhenUsed/>
    <w:qFormat/>
    <w:rsid w:val="00380E6E"/>
    <w:pPr>
      <w:keepNext/>
      <w:keepLines/>
      <w:spacing w:after="0" w:before="200"/>
      <w:outlineLvl w:val="3"/>
    </w:pPr>
    <w:rPr>
      <w:rFonts w:asciiTheme="majorHAnsi" w:cstheme="majorBidi" w:eastAsiaTheme="majorEastAsia" w:hAnsiTheme="majorHAnsi"/>
      <w:bCs/>
      <w:i/>
      <w:color w:val="000000"/>
    </w:rPr>
  </w:style>
  <w:style w:styleId="5" w:type="paragraph">
    <w:name w:val="heading 5"/>
    <w:basedOn w:val="a"/>
    <w:next w:val="a0"/>
    <w:uiPriority w:val="9"/>
    <w:unhideWhenUsed/>
    <w:qFormat/>
    <w:pPr>
      <w:keepNext/>
      <w:keepLines/>
      <w:numPr>
        <w:ilvl w:val="4"/>
        <w:numId w:val="32"/>
      </w:numPr>
      <w:spacing w:after="0" w:before="200"/>
      <w:outlineLvl w:val="4"/>
    </w:pPr>
    <w:rPr>
      <w:rFonts w:asciiTheme="majorHAnsi" w:cstheme="majorBidi" w:eastAsiaTheme="majorEastAsia" w:hAnsiTheme="majorHAnsi"/>
      <w:iCs/>
      <w:color w:val="000000"/>
    </w:rPr>
  </w:style>
  <w:style w:styleId="6" w:type="paragraph">
    <w:name w:val="heading 6"/>
    <w:basedOn w:val="a"/>
    <w:next w:val="a0"/>
    <w:uiPriority w:val="9"/>
    <w:unhideWhenUsed/>
    <w:qFormat/>
    <w:pPr>
      <w:keepNext/>
      <w:keepLines/>
      <w:numPr>
        <w:ilvl w:val="5"/>
        <w:numId w:val="32"/>
      </w:numPr>
      <w:spacing w:after="0" w:before="200"/>
      <w:outlineLvl w:val="5"/>
    </w:pPr>
    <w:rPr>
      <w:rFonts w:asciiTheme="majorHAnsi" w:cstheme="majorBidi" w:eastAsiaTheme="majorEastAsia" w:hAnsiTheme="majorHAnsi"/>
      <w:color w:val="000000"/>
    </w:rPr>
  </w:style>
  <w:style w:styleId="7" w:type="paragraph">
    <w:name w:val="heading 7"/>
    <w:basedOn w:val="a"/>
    <w:next w:val="a0"/>
    <w:uiPriority w:val="9"/>
    <w:unhideWhenUsed/>
    <w:qFormat/>
    <w:pPr>
      <w:keepNext/>
      <w:keepLines/>
      <w:numPr>
        <w:ilvl w:val="6"/>
        <w:numId w:val="32"/>
      </w:numPr>
      <w:spacing w:after="0" w:before="200"/>
      <w:outlineLvl w:val="6"/>
    </w:pPr>
    <w:rPr>
      <w:rFonts w:asciiTheme="majorHAnsi" w:cstheme="majorBidi" w:eastAsiaTheme="majorEastAsia" w:hAnsiTheme="majorHAnsi"/>
      <w:color w:val="000000"/>
    </w:rPr>
  </w:style>
  <w:style w:styleId="8" w:type="paragraph">
    <w:name w:val="heading 8"/>
    <w:basedOn w:val="a"/>
    <w:next w:val="a0"/>
    <w:uiPriority w:val="9"/>
    <w:unhideWhenUsed/>
    <w:qFormat/>
    <w:pPr>
      <w:keepNext/>
      <w:keepLines/>
      <w:numPr>
        <w:ilvl w:val="7"/>
        <w:numId w:val="32"/>
      </w:numPr>
      <w:spacing w:after="0" w:before="200"/>
      <w:outlineLvl w:val="7"/>
    </w:pPr>
    <w:rPr>
      <w:rFonts w:asciiTheme="majorHAnsi" w:cstheme="majorBidi" w:eastAsiaTheme="majorEastAsia" w:hAnsiTheme="majorHAnsi"/>
      <w:color w:val="000000"/>
    </w:rPr>
  </w:style>
  <w:style w:styleId="9" w:type="paragraph">
    <w:name w:val="heading 9"/>
    <w:basedOn w:val="a"/>
    <w:next w:val="a0"/>
    <w:uiPriority w:val="9"/>
    <w:unhideWhenUsed/>
    <w:qFormat/>
    <w:pPr>
      <w:keepNext/>
      <w:keepLines/>
      <w:numPr>
        <w:ilvl w:val="8"/>
        <w:numId w:val="32"/>
      </w:numPr>
      <w:spacing w:after="0" w:before="200"/>
      <w:outlineLvl w:val="8"/>
    </w:pPr>
    <w:rPr>
      <w:rFonts w:asciiTheme="majorHAnsi" w:cstheme="majorBidi" w:eastAsiaTheme="majorEastAsia" w:hAnsiTheme="majorHAnsi"/>
      <w:color w:val="000000"/>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link w:val="a4"/>
    <w:qFormat/>
    <w:rsid w:val="00372973"/>
    <w:pPr>
      <w:spacing w:after="180" w:before="180"/>
      <w:ind w:firstLine="200" w:firstLineChars="200"/>
      <w:jc w:val="both"/>
    </w:pPr>
  </w:style>
  <w:style w:customStyle="1" w:styleId="FirstParagraph" w:type="paragraph">
    <w:name w:val="First Paragraph"/>
    <w:basedOn w:val="a0"/>
    <w:next w:val="a0"/>
    <w:qFormat/>
    <w:rsid w:val="00B73EF0"/>
  </w:style>
  <w:style w:customStyle="1" w:styleId="Compact" w:type="paragraph">
    <w:name w:val="Compact"/>
    <w:basedOn w:val="a0"/>
    <w:qFormat/>
    <w:rsid w:val="007C6442"/>
    <w:pPr>
      <w:spacing w:after="36" w:before="36"/>
      <w:jc w:val="center"/>
    </w:pPr>
  </w:style>
  <w:style w:styleId="a5" w:type="paragraph">
    <w:name w:val="Title"/>
    <w:basedOn w:val="a"/>
    <w:next w:val="a0"/>
    <w:qFormat/>
    <w:rsid w:val="002B292E"/>
    <w:pPr>
      <w:keepNext/>
      <w:keepLines/>
      <w:spacing w:after="240" w:before="480"/>
      <w:jc w:val="center"/>
    </w:pPr>
    <w:rPr>
      <w:rFonts w:asciiTheme="majorHAnsi" w:cstheme="majorBidi" w:eastAsia="等线" w:hAnsiTheme="majorHAnsi"/>
      <w:b/>
      <w:bCs/>
      <w:color w:val="000000"/>
      <w:sz w:val="44"/>
      <w:szCs w:val="36"/>
    </w:rPr>
  </w:style>
  <w:style w:styleId="a6" w:type="paragraph">
    <w:name w:val="Subtitle"/>
    <w:basedOn w:val="a5"/>
    <w:next w:val="a0"/>
    <w:qFormat/>
    <w:pPr>
      <w:spacing w:before="240"/>
    </w:pPr>
    <w:rPr>
      <w:sz w:val="30"/>
      <w:szCs w:val="30"/>
    </w:rPr>
  </w:style>
  <w:style w:customStyle="1" w:styleId="Author" w:type="paragraph">
    <w:name w:val="Author"/>
    <w:next w:val="a0"/>
    <w:qFormat/>
    <w:pPr>
      <w:keepNext/>
      <w:keepLines/>
      <w:jc w:val="center"/>
    </w:pPr>
  </w:style>
  <w:style w:styleId="a7"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rsid w:val="00CB0E17"/>
    <w:pPr>
      <w:ind w:hanging="200" w:hangingChars="200" w:left="200"/>
    </w:pPr>
  </w:style>
  <w:style w:styleId="a9" w:type="paragraph">
    <w:name w:val="Block Text"/>
    <w:basedOn w:val="a0"/>
    <w:next w:val="a0"/>
    <w:uiPriority w:val="9"/>
    <w:unhideWhenUsed/>
    <w:qFormat/>
    <w:pPr>
      <w:spacing w:after="100" w:before="100"/>
      <w:ind w:left="480" w:right="480"/>
    </w:pPr>
  </w:style>
  <w:style w:styleId="aa" w:type="paragraph">
    <w:name w:val="footnote text"/>
    <w:basedOn w:val="a"/>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b" w:type="paragraph">
    <w:name w:val="caption"/>
    <w:basedOn w:val="a"/>
    <w:link w:val="ac"/>
    <w:pPr>
      <w:spacing w:after="120"/>
      <w:jc w:val="center"/>
    </w:pPr>
    <w:rPr>
      <w:i/>
    </w:rPr>
  </w:style>
  <w:style w:customStyle="1" w:styleId="TableCaption" w:type="paragraph">
    <w:name w:val="Table Caption"/>
    <w:basedOn w:val="ab"/>
    <w:rsid w:val="00D03F4A"/>
    <w:pPr>
      <w:keepNext/>
    </w:pPr>
  </w:style>
  <w:style w:customStyle="1" w:styleId="ImageCaption" w:type="paragraph">
    <w:name w:val="Image Caption"/>
    <w:basedOn w:val="ab"/>
    <w:rsid w:val="00B73EF0"/>
  </w:style>
  <w:style w:customStyle="1" w:styleId="Figure" w:type="paragraph">
    <w:name w:val="Figure"/>
    <w:basedOn w:val="a"/>
  </w:style>
  <w:style w:customStyle="1" w:styleId="CaptionedFigure" w:type="paragraph">
    <w:name w:val="Captioned Figure"/>
    <w:basedOn w:val="Figure"/>
    <w:pPr>
      <w:keepNext/>
    </w:pPr>
  </w:style>
  <w:style w:customStyle="1" w:styleId="ac" w:type="character">
    <w:name w:val="题注 字符"/>
    <w:basedOn w:val="a1"/>
    <w:link w:val="ab"/>
  </w:style>
  <w:style w:customStyle="1" w:styleId="VerbatimChar" w:type="character">
    <w:name w:val="Verbatim Char"/>
    <w:basedOn w:val="ac"/>
    <w:rPr>
      <w:rFonts w:ascii="Consolas" w:hAnsi="Consolas"/>
      <w:sz w:val="22"/>
    </w:rPr>
  </w:style>
  <w:style w:customStyle="1" w:styleId="SectionNumber" w:type="character">
    <w:name w:val="Section Number"/>
    <w:basedOn w:val="ac"/>
  </w:style>
  <w:style w:styleId="ad" w:type="character">
    <w:name w:val="footnote reference"/>
    <w:basedOn w:val="ac"/>
    <w:rPr>
      <w:vertAlign w:val="superscript"/>
    </w:rPr>
  </w:style>
  <w:style w:styleId="ae" w:type="character">
    <w:name w:val="Hyperlink"/>
    <w:basedOn w:val="ac"/>
    <w:rsid w:val="005E0FD0"/>
    <w:rPr>
      <w:color w:val="EE0000"/>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customStyle="1" w:styleId="a4" w:type="character">
    <w:name w:val="正文文本 字符"/>
    <w:basedOn w:val="a1"/>
    <w:link w:val="a0"/>
    <w:rsid w:val="00372973"/>
  </w:style>
  <w:style w:styleId="af" w:type="paragraph">
    <w:name w:val="header"/>
    <w:basedOn w:val="a"/>
    <w:link w:val="af0"/>
    <w:unhideWhenUsed/>
    <w:rsid w:val="004B5B5C"/>
    <w:pPr>
      <w:pBdr>
        <w:bottom w:color="auto" w:space="1" w:sz="6" w:val="single"/>
      </w:pBdr>
      <w:tabs>
        <w:tab w:pos="4153" w:val="center"/>
        <w:tab w:pos="8306" w:val="right"/>
      </w:tabs>
      <w:snapToGrid w:val="0"/>
      <w:jc w:val="center"/>
    </w:pPr>
    <w:rPr>
      <w:sz w:val="18"/>
      <w:szCs w:val="18"/>
    </w:rPr>
  </w:style>
  <w:style w:customStyle="1" w:styleId="af0" w:type="character">
    <w:name w:val="页眉 字符"/>
    <w:basedOn w:val="a1"/>
    <w:link w:val="af"/>
    <w:rsid w:val="004B5B5C"/>
    <w:rPr>
      <w:sz w:val="18"/>
      <w:szCs w:val="18"/>
    </w:rPr>
  </w:style>
  <w:style w:styleId="af1" w:type="paragraph">
    <w:name w:val="footer"/>
    <w:basedOn w:val="a"/>
    <w:link w:val="af2"/>
    <w:unhideWhenUsed/>
    <w:rsid w:val="004B5B5C"/>
    <w:pPr>
      <w:tabs>
        <w:tab w:pos="4153" w:val="center"/>
        <w:tab w:pos="8306" w:val="right"/>
      </w:tabs>
      <w:snapToGrid w:val="0"/>
    </w:pPr>
    <w:rPr>
      <w:sz w:val="18"/>
      <w:szCs w:val="18"/>
    </w:rPr>
  </w:style>
  <w:style w:customStyle="1" w:styleId="af2" w:type="character">
    <w:name w:val="页脚 字符"/>
    <w:basedOn w:val="a1"/>
    <w:link w:val="af1"/>
    <w:rsid w:val="004B5B5C"/>
    <w:rPr>
      <w:sz w:val="18"/>
      <w:szCs w:val="18"/>
    </w:rPr>
  </w:style>
  <w:style w:customStyle="1" w:styleId="10" w:type="character">
    <w:name w:val="标题 1 字符"/>
    <w:basedOn w:val="a1"/>
    <w:link w:val="1"/>
    <w:uiPriority w:val="9"/>
    <w:rsid w:val="00DA341B"/>
    <w:rPr>
      <w:rFonts w:asciiTheme="majorHAnsi" w:cstheme="majorBidi" w:eastAsiaTheme="majorEastAsia" w:hAnsiTheme="majorHAnsi"/>
      <w:b/>
      <w:bCs/>
      <w:color w:val="FF0000"/>
      <w:sz w:val="32"/>
      <w:szCs w:val="32"/>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9464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89</Words>
  <Characters>511</Characters>
  <Application>Microsoft Office Word</Application>
  <DocSecurity>0</DocSecurity>
  <Lines>4</Lines>
  <Paragraphs>1</Paragraphs>
  <ScaleCrop>false</ScaleCrop>
  <Company/>
  <LinksUpToDate>false</LinksUpToDate>
  <CharactersWithSpaces>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帮助研究者从“找到知识”到“生产可信知识”：</dc:title>
  <dc:creator>王敏杰（四川师范大学图书馆）</dc:creator>
  <dc:language>zh-CN</dc:language>
  <cp:keywords/>
  <dcterms:created xsi:type="dcterms:W3CDTF">2026-05-14T02:41:48Z</dcterms:created>
  <dcterms:modified xsi:type="dcterms:W3CDTF">2026-05-14T02:41:48Z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rossref">
    <vt:lpwstr/>
  </property>
  <property fmtid="{D5CDD505-2E9C-101B-9397-08002B2CF9AE}" pid="7" name="csl">
    <vt:lpwstr>apa-7th-edition.csl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link-citations">
    <vt:lpwstr>True</vt:lpwstr>
  </property>
  <property fmtid="{D5CDD505-2E9C-101B-9397-08002B2CF9AE}" pid="15" name="subtitle">
    <vt:lpwstr>高校图书馆“科研数据会诊室”的实践路径与能力重塑</vt:lpwstr>
  </property>
  <property fmtid="{D5CDD505-2E9C-101B-9397-08002B2CF9AE}" pid="16" name="toc-title">
    <vt:lpwstr>目录</vt:lpwstr>
  </property>
</Properties>
</file>