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和资源利用，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3"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718286"/>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71828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是具体服务形式：一翼是面向广大师生的“顶刊论文复现”，承担公益型能力建设功能；一翼是面向真实课题的“科研数据会诊”，承担问题诊断、模型建议、项目伴走功能；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7" w:name="明确-ai开放科学与统计建模的分工"/>
    <w:p>
      <w:pPr>
        <w:pStyle w:val="2"/>
      </w:pPr>
      <w:r>
        <w:t xml:space="preserve">3.1 </w:t>
      </w:r>
      <w:r>
        <w:rPr>
          <w:rFonts w:hint="eastAsia"/>
        </w:rPr>
        <w:t xml:space="preserve">明确</w:t>
      </w:r>
      <w:r>
        <w:t xml:space="preserve"> </w:t>
      </w:r>
      <w:r>
        <w:rPr>
          <w:rFonts w:hint="eastAsia"/>
        </w:rPr>
        <w:t xml:space="preserve">AI、开放科学与统计建模的分工</w:t>
      </w:r>
    </w:p>
    <w:p>
      <w:pPr>
        <w:pStyle w:val="FirstParagraph"/>
      </w:pPr>
      <w:r>
        <w:rPr>
          <w:rFonts w:hint="eastAsia"/>
        </w:rPr>
        <w:t xml:space="preserve">在该案例中，开放科学、人工智能与统计建模并不是并列的三个概念，而是分别承担不同功能。开放科学提供真实、可追溯、可复用的研究材料；AI</w:t>
      </w:r>
      <w:r>
        <w:t xml:space="preserve"> </w:t>
      </w:r>
      <w:r>
        <w:rPr>
          <w:rFonts w:hint="eastAsia"/>
        </w:rPr>
        <w:t xml:space="preserve">协作工具提高代码生成、调试、文献整理和表达优化的效率；统计建模则提供判断研究问题、数据结构、模型假设和代码执行的核心框架。</w:t>
      </w:r>
    </w:p>
    <w:p>
      <w:pPr>
        <w:pStyle w:val="a0"/>
      </w:pPr>
      <w:r>
        <w:rPr>
          <w:rFonts w:hint="eastAsia"/>
        </w:rPr>
        <w:t xml:space="preserve">因此，AI</w:t>
      </w:r>
      <w:r>
        <w:t xml:space="preserve"> </w:t>
      </w:r>
      <w:r>
        <w:rPr>
          <w:rFonts w:hint="eastAsia"/>
        </w:rPr>
        <w:t xml:space="preserve">并不替代会诊人员的专业判断。它可以帮助更快生成代码初稿、发现语法错误、整理分析流程或润色方法表达，但研究问题是否成立、变量关系如何理解、模型假设是否合理、结论能否支撑论文主张，仍需要由具备统计建模素养和跨学科沟通能力的服务人员把关。可以概括为：AI</w:t>
      </w:r>
      <w:r>
        <w:t xml:space="preserve"> </w:t>
      </w:r>
      <w:r>
        <w:rPr>
          <w:rFonts w:hint="eastAsia"/>
        </w:rPr>
        <w:t xml:space="preserve">解决“做得更快”，统计建模解决“做得是否合理”，可重复研究工作流解决“做完是否可信”。</w:t>
      </w:r>
    </w:p>
    <w:bookmarkEnd w:id="27"/>
    <w:bookmarkStart w:id="29" w:name="以顶刊论文复现开展课程化训练"/>
    <w:p>
      <w:pPr>
        <w:pStyle w:val="2"/>
      </w:pPr>
      <w:r>
        <w:t xml:space="preserve">3.2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8"/>
        </w:tc>
      </w:tr>
    </w:tbl>
    <w:p>
      <w:pPr>
        <w:pStyle w:val="a0"/>
      </w:pPr>
      <w:r>
        <w:rPr>
          <w:rFonts w:hint="eastAsia"/>
        </w:rPr>
        <w:t xml:space="preserve">这一课程设计的主要目的是：让师生不只是“看懂论文”，而是通过复现论文的数据分析流程，理解顶刊研究背后的方法逻辑，并将其迁移到自己的研究中。</w:t>
      </w:r>
    </w:p>
    <w:bookmarkEnd w:id="29"/>
    <w:bookmarkStart w:id="31" w:name="以真实科研问题开展数据会诊"/>
    <w:p>
      <w:pPr>
        <w:pStyle w:val="2"/>
      </w:pPr>
      <w:r>
        <w:t xml:space="preserve">3.3 </w:t>
      </w:r>
      <w:r>
        <w:rPr>
          <w:rFonts w:hint="eastAsia"/>
        </w:rPr>
        <w:t xml:space="preserve">以真实科研问题开展数据会诊</w:t>
      </w:r>
    </w:p>
    <w:p>
      <w:pPr>
        <w:pStyle w:val="FirstParagraph"/>
      </w:pPr>
      <w:r>
        <w:rPr>
          <w:rFonts w:hint="eastAsia"/>
        </w:rPr>
        <w:t xml:space="preserve">与课程化训练相比，科研数据会诊更加注重个性化和场景化。师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这种“问题转译”能力，是科研数据会诊室区别于普通软件培训的核心。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30"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30"/>
        </w:tc>
      </w:tr>
    </w:tbl>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1"/>
    <w:bookmarkStart w:id="32" w:name="以可重复研究工作流实现服务沉淀"/>
    <w:p>
      <w:pPr>
        <w:pStyle w:val="2"/>
      </w:pPr>
      <w:r>
        <w:t xml:space="preserve">3.4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2"/>
    <w:bookmarkEnd w:id="33"/>
    <w:bookmarkStart w:id="34" w:name="典型会诊案例从模糊研究困惑到可执行模型方案"/>
    <w:p>
      <w:pPr>
        <w:pStyle w:val="1"/>
      </w:pPr>
      <w:r>
        <w:t xml:space="preserve">4. </w:t>
      </w:r>
      <w:r>
        <w:rPr>
          <w:rFonts w:hint="eastAsia"/>
        </w:rPr>
        <w:t xml:space="preserve">典型会诊案例：从模糊研究困惑到可执行模型方案</w:t>
      </w:r>
    </w:p>
    <w:p>
      <w:pPr>
        <w:pStyle w:val="FirstParagraph"/>
      </w:pPr>
      <w:r>
        <w:rPr>
          <w:rFonts w:hint="eastAsia"/>
        </w:rPr>
        <w:t xml:space="preserve">这里选取我校商学院教师团队关于心理授权与创新绩效的研究。研究者最初的困惑并不是“某个软件如何操作”，而是：问卷中存在多个潜在概念，研究假设涉及中介和调节关系，样本量并不十分充足，如何判断模型是否合适、结果如何表达。</w:t>
      </w:r>
    </w:p>
    <w:p>
      <w:pPr>
        <w:pStyle w:val="a0"/>
      </w:pPr>
      <w:r>
        <w:rPr>
          <w:rFonts w:hint="eastAsia"/>
        </w:rPr>
        <w:t xml:space="preserve">初诊阶段：问题拆解。首先帮助研究者梳理理论框架和变量关系，将原本较为笼统的表述拆分为三个层次：第一，量表题项能否支持潜变量测量；第二，核心自变量、因变量、中介变量和调节变量之间的路径关系是否具有理论依据；第三，样本量和题项质量是否足以支撑较复杂的结构方程模型。</w:t>
      </w:r>
    </w:p>
    <w:p>
      <w:pPr>
        <w:pStyle w:val="a0"/>
      </w:pPr>
      <w:r>
        <w:rPr>
          <w:rFonts w:hint="eastAsia"/>
        </w:rPr>
        <w:t xml:space="preserve">复诊阶段：逐步建模。建议先进行量表信度、验证性因子分析和模型识别检查，而不是直接进入复杂路径模型；在此基础上，再根据理论假设逐步比较简单中介模型、调节模型和调节中介模型。</w:t>
      </w:r>
    </w:p>
    <w:p>
      <w:pPr>
        <w:pStyle w:val="a0"/>
      </w:pPr>
      <w:r>
        <w:rPr>
          <w:rFonts w:hint="eastAsia"/>
        </w:rPr>
        <w:t xml:space="preserve">伴走阶段：可重复性。主要是整理代码、量表检查和图表建议，最终产出不是单一的统计结果，而是一套可追溯、可复用的分析流程。更重要的是，会诊过程也反向推动我自身的学习和提升。面对潜变量交互、非正态题项和小样本估计不稳定等问题，我逐渐意识到，传统频率学方法难以回应当前研究中的不确定性与复杂性。相比之下，贝叶斯模型能够通过先验信息、后验分布和完整的不确定性表达，为这类复杂研究问题提供更稳健、更透明的建模路径。</w:t>
      </w:r>
    </w:p>
    <w:bookmarkEnd w:id="34"/>
    <w:bookmarkStart w:id="37" w:name="服务成效能力提升科研支持与知识资产沉淀"/>
    <w:p>
      <w:pPr>
        <w:pStyle w:val="1"/>
      </w:pPr>
      <w:r>
        <w:t xml:space="preserve">5.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5"/>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6"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6"/>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7"/>
    <w:bookmarkStart w:id="43" w:name="经验总结高校图书馆学科服务的核心能力重塑"/>
    <w:p>
      <w:pPr>
        <w:pStyle w:val="1"/>
      </w:pPr>
      <w:r>
        <w:t xml:space="preserve">6.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8" w:name="重塑开放科学资源转译能力"/>
    <w:p>
      <w:pPr>
        <w:pStyle w:val="2"/>
      </w:pPr>
      <w:r>
        <w:t xml:space="preserve">6.1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8"/>
    <w:bookmarkStart w:id="39" w:name="重塑科研问题建模能力"/>
    <w:p>
      <w:pPr>
        <w:pStyle w:val="2"/>
      </w:pPr>
      <w:r>
        <w:t xml:space="preserve">6.2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9"/>
    <w:bookmarkStart w:id="40" w:name="重塑可重复研究组织能力"/>
    <w:p>
      <w:pPr>
        <w:pStyle w:val="2"/>
      </w:pPr>
      <w:r>
        <w:t xml:space="preserve">6.3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40"/>
    <w:bookmarkStart w:id="41" w:name="重塑跨学科协同能力"/>
    <w:p>
      <w:pPr>
        <w:pStyle w:val="2"/>
      </w:pPr>
      <w:r>
        <w:t xml:space="preserve">6.4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41"/>
    <w:bookmarkStart w:id="42" w:name="重塑服务产品化能力"/>
    <w:p>
      <w:pPr>
        <w:pStyle w:val="2"/>
      </w:pPr>
      <w:r>
        <w:t xml:space="preserve">6.5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2"/>
    <w:bookmarkEnd w:id="43"/>
    <w:bookmarkStart w:id="44" w:name="结语"/>
    <w:p>
      <w:pPr>
        <w:pStyle w:val="1"/>
      </w:pPr>
      <w:r>
        <w:t xml:space="preserve">7.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4"/>
    <w:bookmarkStart w:id="46"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5"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2592"/>
              <w:gridCol w:w="5184"/>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序号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5"/>
        </w:tc>
      </w:tr>
    </w:tbl>
    <w:bookmarkEnd w:id="46"/>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2026-05-13T00:17:49Z</dcterms:created>
  <dcterms:modified xsi:type="dcterms:W3CDTF">2026-05-13T00:17:49Z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subtitle">
    <vt:lpwstr>高校图书馆“科研数据会诊室”的实践路径与能力重塑</vt:lpwstr>
  </property>
  <property fmtid="{D5CDD505-2E9C-101B-9397-08002B2CF9AE}" pid="16" name="toc-title">
    <vt:lpwstr>目录</vt:lpwstr>
  </property>
</Properties>
</file>