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Style w:val="Strong"/>
          <w:rFonts w:eastAsia="Times New Roman" w:cs="Times New Roman" w:ascii="Times New Roman" w:hAnsi="Times New Roman"/>
          <w:b/>
          <w:bCs/>
          <w:i w:val="false"/>
          <w:caps w:val="false"/>
          <w:smallCaps w:val="false"/>
          <w:strike w:val="false"/>
          <w:dstrike w:val="false"/>
          <w:color w:val="000000"/>
          <w:spacing w:val="0"/>
          <w:position w:val="0"/>
          <w:sz w:val="36"/>
          <w:sz w:val="36"/>
          <w:szCs w:val="24"/>
          <w:u w:val="none"/>
          <w:shd w:fill="auto" w:val="clear"/>
          <w:vertAlign w:val="baseline"/>
        </w:rPr>
        <w:t>Satellite-Driven Detection and Lagrangian Trajectory Prediction of Floating Marine Plastics in the Bay of Bengal.</w:t>
      </w:r>
    </w:p>
    <w:p>
      <w:pPr>
        <w:pStyle w:val="normal1"/>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Introduction</w:t>
      </w:r>
    </w:p>
    <w:p>
      <w:pPr>
        <w:pStyle w:val="BodyText"/>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sz w:val="24"/>
          <w:u w:val="none"/>
          <w:shd w:fill="auto" w:val="clear"/>
        </w:rPr>
        <w:t>The Bay of Bengal, a semi-enclosed basin in the northeastern Indian Ocean, supports marine biodiversity and livelihoods through fisheries, tourism, and trade. However, marine plastic pollution, driven by these activities as well as riverine inputs like the Ganges-Brahmaputra Delta, a top global emitter (Meijer et al., 2021), threatens ecosystems and human health with persistent debris accumulating in coastal and open waters (Kühn &amp; van Franeker, 2020).</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My prior work, "Modeling The Trajectory of Floating Marine Litter in the Bay of Bengal", for my 4</w:t>
      </w:r>
      <w:r>
        <w:rPr>
          <w:rFonts w:eastAsia="Times New Roman" w:cs="Times New Roman" w:ascii="Times New Roman" w:hAnsi="Times New Roman"/>
          <w:i w:val="false"/>
          <w:caps w:val="false"/>
          <w:smallCaps w:val="false"/>
          <w:strike w:val="false"/>
          <w:dstrike w:val="false"/>
          <w:color w:val="000000"/>
          <w:sz w:val="24"/>
          <w:u w:val="none"/>
          <w:shd w:fill="auto" w:val="clear"/>
          <w:vertAlign w:val="superscript"/>
        </w:rPr>
        <w:t>th</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year research project, utilized a Lagrangian particle-tracking model to simulate the movement of floating marine litter. That study revealed a pronounced monsoonal regime: winter northeasterlies drive southward debris transport along India’s coast, while summer southwesterlies disperse plastics toward Myanmar and Bangladesh. Annually, almost 50% of simulated particles moved away from the model domain </w:t>
      </w:r>
      <w:r>
        <w:rPr>
          <w:rFonts w:eastAsia="Times New Roman" w:cs="Times New Roman" w:ascii="Times New Roman" w:hAnsi="Times New Roman"/>
        </w:rPr>
        <w:t>through the southern</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and south-eastern open boundary. Some of the remaining particles beached at Indian coast, Andaman and Nicobar Islands. </w:t>
      </w:r>
      <w:r>
        <w:rPr>
          <w:rFonts w:eastAsia="Times New Roman" w:cs="Times New Roman" w:ascii="Times New Roman" w:hAnsi="Times New Roman"/>
        </w:rPr>
        <w:t>And the rest</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of the particles were floating near the </w:t>
      </w:r>
      <w:r>
        <w:rPr>
          <w:rFonts w:eastAsia="Times New Roman" w:cs="Times New Roman" w:ascii="Times New Roman" w:hAnsi="Times New Roman"/>
        </w:rPr>
        <w:t>Indian</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coastal region. Despite these insights, the study lacked the capability to detect specific macroplastic patches in real-time or map their precise locations, relying instead on modeled emission scenarios.</w:t>
      </w:r>
    </w:p>
    <w:p>
      <w:pPr>
        <w:pStyle w:val="BodyText"/>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Despite the extensive body of research on marine plastics in academia, studies focusing on modeling the trajectories of floating marine plastics remain scarce. This research represents a critical initial step toward addressing this gap by developing a robust framework for trajectory modeling of macroplastics in the Bay of Bengal. By integrating high-resolution Sentinel-2 satellite imagery with Lagrangian particle-tracking simulations, this study aims to enhance the understanding of plastic movement and accumulation patterns.</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rPr>
      </w:pPr>
      <w:r>
        <w:rPr>
          <w:rFonts w:eastAsia="Times New Roman" w:cs="Times New Roman" w:ascii="Times New Roman" w:hAnsi="Times New Roman"/>
        </w:rPr>
      </w:r>
      <w:bookmarkStart w:id="0" w:name="_heading=h.i1jjanrtuboq"/>
      <w:bookmarkStart w:id="1" w:name="_heading=h.i1jjanrtuboq"/>
      <w:bookmarkEnd w:id="1"/>
    </w:p>
    <w:p>
      <w:pPr>
        <w:pStyle w:val="Heading2"/>
        <w:pageBreakBefore w:val="false"/>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Objectives</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The primary objective of this research are:</w:t>
      </w:r>
    </w:p>
    <w:p>
      <w:pPr>
        <w:pStyle w:val="normal1"/>
        <w:keepNext w:val="false"/>
        <w:keepLines w:val="false"/>
        <w:pageBreakBefore w:val="false"/>
        <w:widowControl/>
        <w:numPr>
          <w:ilvl w:val="0"/>
          <w:numId w:val="1"/>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o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d</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v</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l</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a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ma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c</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i</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n</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l</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n</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i</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n</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g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m</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d</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l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o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d</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c</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t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m</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c</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l</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s</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i</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c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c</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s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i</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n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f</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f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s</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a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f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Z.</w:t>
      </w:r>
    </w:p>
    <w:p>
      <w:pPr>
        <w:pStyle w:val="normal1"/>
        <w:keepNext w:val="false"/>
        <w:keepLines w:val="false"/>
        <w:pageBreakBefore w:val="false"/>
        <w:widowControl/>
        <w:numPr>
          <w:ilvl w:val="0"/>
          <w:numId w:val="1"/>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Predict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i</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r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f</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u</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u</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rajectories using Lagrangian model</w:t>
      </w:r>
    </w:p>
    <w:p>
      <w:pPr>
        <w:pStyle w:val="normal1"/>
        <w:keepNext w:val="false"/>
        <w:keepLines w:val="false"/>
        <w:pageBreakBefore w:val="false"/>
        <w:widowControl/>
        <w:numPr>
          <w:ilvl w:val="0"/>
          <w:numId w:val="1"/>
        </w:numPr>
        <w:shd w:val="clear" w:fill="auto"/>
        <w:tabs>
          <w:tab w:val="clear" w:pos="720"/>
          <w:tab w:val="left" w:pos="709" w:leader="none"/>
        </w:tabs>
        <w:spacing w:lineRule="auto" w:line="276" w:before="0" w:after="140"/>
        <w:ind w:hanging="283" w:left="709" w:right="0"/>
        <w:jc w:val="both"/>
        <w:rPr>
          <w:b/>
          <w:bCs/>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Develop monthly and annual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lastic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ccumulation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m</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aps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f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h</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e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B</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y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o</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 xml:space="preserve">f </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B</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n</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g</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a</w:t>
      </w: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l</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These objectives extend the prior study’s focus on general debris pathways by targeting observable macroplastic patches, providing actionable data for cleanup and policy interventions.</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Methodology</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rPr>
        <w:t>This m</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ethodology combines satellite-based remote sensing with Lagrangian trajectory modeling, integrating advancements from recent studies (Biermann et al., 2020; Booth et al., 2025) and the validated approach </w:t>
      </w:r>
      <w:r>
        <w:rPr>
          <w:rFonts w:eastAsia="Times New Roman" w:cs="Times New Roman" w:ascii="Times New Roman" w:hAnsi="Times New Roman"/>
        </w:rPr>
        <w:t>used in my prior work</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w:t>
      </w:r>
    </w:p>
    <w:p>
      <w:pPr>
        <w:pStyle w:val="Heading3"/>
        <w:spacing w:lineRule="auto" w:line="276" w:before="0" w:after="14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Detection of Macroplastics</w:t>
      </w:r>
    </w:p>
    <w:p>
      <w:pPr>
        <w:pStyle w:val="normal1"/>
        <w:keepNext w:val="false"/>
        <w:keepLines w:val="false"/>
        <w:pageBreakBefore w:val="false"/>
        <w:widowControl/>
        <w:numPr>
          <w:ilvl w:val="0"/>
          <w:numId w:val="2"/>
        </w:numPr>
        <w:shd w:val="clear" w:fill="auto"/>
        <w:tabs>
          <w:tab w:val="clear" w:pos="720"/>
          <w:tab w:val="left" w:pos="709" w:leader="none"/>
        </w:tabs>
        <w:spacing w:lineRule="auto" w:line="276" w:before="0" w:after="140"/>
        <w:ind w:hanging="283" w:left="708"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Data Source: We will employ Sentinel-2 multispectral imagery from the European Space Agency, offering 10-meter spatial resolution and frequent revisit times (Biermann et al., 2020).</w:t>
      </w:r>
    </w:p>
    <w:p>
      <w:pPr>
        <w:pStyle w:val="normal1"/>
        <w:keepNext w:val="false"/>
        <w:keepLines w:val="false"/>
        <w:pageBreakBefore w:val="false"/>
        <w:widowControl/>
        <w:numPr>
          <w:ilvl w:val="0"/>
          <w:numId w:val="2"/>
        </w:numPr>
        <w:shd w:val="clear" w:fill="auto"/>
        <w:tabs>
          <w:tab w:val="clear" w:pos="720"/>
          <w:tab w:val="left" w:pos="709" w:leader="none"/>
        </w:tabs>
        <w:spacing w:lineRule="auto" w:line="276" w:before="0" w:after="140"/>
        <w:ind w:hanging="283" w:left="708"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Spectral Analysis: The Floating Debris Index (FDI) will be applied to enhance macroplastic visibility against water backgrounds, leveraging distinct spectral signatures in near-infrared (NIR) and shortwave infrared (SWIR) bands (Biermann et al., 2020).</w:t>
      </w:r>
    </w:p>
    <w:p>
      <w:pPr>
        <w:pStyle w:val="normal1"/>
        <w:keepNext w:val="false"/>
        <w:keepLines w:val="false"/>
        <w:pageBreakBefore w:val="false"/>
        <w:widowControl/>
        <w:numPr>
          <w:ilvl w:val="0"/>
          <w:numId w:val="2"/>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Classification: Supervised machine learning, such as Naïve Bayes classifiers (achieving 86% accuracy in Biermann et al., 2020), will distinguish plastics from natural materials like seaweed or driftwood.</w:t>
      </w:r>
    </w:p>
    <w:p>
      <w:pPr>
        <w:pStyle w:val="Heading3"/>
        <w:spacing w:lineRule="auto" w:line="276" w:before="0" w:after="14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Trajectory Prediction</w:t>
      </w:r>
    </w:p>
    <w:p>
      <w:pPr>
        <w:pStyle w:val="normal1"/>
        <w:keepNext w:val="false"/>
        <w:keepLines w:val="false"/>
        <w:pageBreakBefore w:val="false"/>
        <w:widowControl/>
        <w:numPr>
          <w:ilvl w:val="0"/>
          <w:numId w:val="3"/>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Lagrangian Simulation: We will use a python package, </w:t>
      </w:r>
      <w:r>
        <w:rPr>
          <w:rFonts w:eastAsia="Times New Roman" w:cs="Times New Roman" w:ascii="Times New Roman" w:hAnsi="Times New Roman"/>
        </w:rPr>
        <w:t>PlasticParcels, for</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Lagrangian particle tracking to model macroplastic movement. Particles will be initialized at the centroids of detected patches, extending the prior study’s methodology from hypothetical riverine inputs to real-world observations.</w:t>
      </w:r>
    </w:p>
    <w:p>
      <w:pPr>
        <w:pStyle w:val="normal1"/>
        <w:keepNext w:val="false"/>
        <w:keepLines w:val="false"/>
        <w:pageBreakBefore w:val="false"/>
        <w:widowControl/>
        <w:numPr>
          <w:ilvl w:val="0"/>
          <w:numId w:val="3"/>
        </w:numPr>
        <w:shd w:val="clear" w:fill="auto"/>
        <w:tabs>
          <w:tab w:val="clear" w:pos="720"/>
          <w:tab w:val="left" w:pos="709" w:leader="none"/>
        </w:tabs>
        <w:spacing w:lineRule="auto" w:line="276" w:before="0" w:after="140"/>
        <w:ind w:hanging="283" w:left="708"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Datasets: Simulations will be driven by high-resolution ocean current data from </w:t>
      </w:r>
      <w:r>
        <w:rPr>
          <w:rFonts w:eastAsia="Times New Roman" w:cs="Times New Roman" w:ascii="Times New Roman" w:hAnsi="Times New Roman"/>
        </w:rPr>
        <w:t xml:space="preserve">Copernicus Marine Service which (Hernandez et al., 2024). Wind fields and Stokes drift velocities will be obtained from the ERA5 reanalysis (Tuo et al., 2023). </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w:t>
      </w:r>
      <w:r>
        <w:rPr>
          <w:rFonts w:eastAsia="Times New Roman" w:cs="Times New Roman" w:ascii="Times New Roman" w:hAnsi="Times New Roman"/>
        </w:rPr>
        <w:t>ese</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datasets can </w:t>
      </w:r>
      <w:r>
        <w:rPr>
          <w:rFonts w:eastAsia="Times New Roman" w:cs="Times New Roman" w:ascii="Times New Roman" w:hAnsi="Times New Roman"/>
        </w:rPr>
        <w:t>capture proper</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monsoonal variability.</w:t>
      </w:r>
    </w:p>
    <w:p>
      <w:pPr>
        <w:pStyle w:val="normal1"/>
        <w:keepNext w:val="false"/>
        <w:keepLines w:val="false"/>
        <w:pageBreakBefore w:val="false"/>
        <w:widowControl/>
        <w:numPr>
          <w:ilvl w:val="0"/>
          <w:numId w:val="3"/>
        </w:numPr>
        <w:shd w:val="clear" w:fill="auto"/>
        <w:tabs>
          <w:tab w:val="clear" w:pos="720"/>
          <w:tab w:val="left" w:pos="709" w:leader="none"/>
        </w:tabs>
        <w:spacing w:lineRule="auto" w:line="276" w:before="0" w:after="140"/>
        <w:ind w:hanging="283" w:left="708"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Simulation Parameters: Drift will be simulated over 30</w:t>
      </w:r>
      <w:r>
        <w:rPr>
          <w:rFonts w:eastAsia="Times New Roman" w:cs="Times New Roman" w:ascii="Times New Roman" w:hAnsi="Times New Roman"/>
        </w:rPr>
        <w:t>-120</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days to capture monthly and seasonal variability.</w:t>
      </w:r>
      <w:r>
        <w:rPr>
          <w:rFonts w:eastAsia="Times New Roman" w:cs="Times New Roman" w:ascii="Times New Roman" w:hAnsi="Times New Roman"/>
        </w:rPr>
        <w:t xml:space="preserve"> Then another annual and decadal simulation will be created to develop plastic hotspot maps.</w:t>
      </w:r>
    </w:p>
    <w:p>
      <w:pPr>
        <w:pStyle w:val="Heading3"/>
        <w:spacing w:lineRule="auto" w:line="276" w:before="0" w:after="140"/>
        <w:ind w:hanging="0" w:lef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Validation</w:t>
      </w:r>
    </w:p>
    <w:p>
      <w:pPr>
        <w:pStyle w:val="normal1"/>
        <w:keepNext w:val="false"/>
        <w:keepLines w:val="false"/>
        <w:pageBreakBefore w:val="false"/>
        <w:widowControl/>
        <w:numPr>
          <w:ilvl w:val="0"/>
          <w:numId w:val="4"/>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Detection Validation: Satellite-derived plastic maps will be compared with in-situ observations from local </w:t>
      </w:r>
      <w:r>
        <w:rPr>
          <w:rFonts w:eastAsia="Times New Roman" w:cs="Times New Roman" w:ascii="Times New Roman" w:hAnsi="Times New Roman"/>
        </w:rPr>
        <w:t xml:space="preserve">fishermen, </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research papers,</w:t>
      </w:r>
      <w:r>
        <w:rPr>
          <w:rFonts w:eastAsia="Times New Roman" w:cs="Times New Roman" w:ascii="Times New Roman" w:hAnsi="Times New Roman"/>
        </w:rPr>
        <w:t xml:space="preserve"> </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coastal surveys or aerial imagery. This will ensure accuracy in identifying macroplastic patches.</w:t>
      </w:r>
    </w:p>
    <w:p>
      <w:pPr>
        <w:pStyle w:val="normal1"/>
        <w:keepNext w:val="false"/>
        <w:keepLines w:val="false"/>
        <w:pageBreakBefore w:val="false"/>
        <w:widowControl/>
        <w:numPr>
          <w:ilvl w:val="0"/>
          <w:numId w:val="4"/>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Trajectory Validation: Predictions will be assessed against satellite-tracked drifter buoy data, building on the validation approach of </w:t>
      </w:r>
      <w:r>
        <w:rPr>
          <w:rFonts w:eastAsia="Times New Roman" w:cs="Times New Roman" w:ascii="Times New Roman" w:hAnsi="Times New Roman"/>
        </w:rPr>
        <w:t xml:space="preserve">Van Sebille et al. (2019). </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If possibl</w:t>
      </w:r>
      <w:r>
        <w:rPr>
          <w:rFonts w:eastAsia="Times New Roman" w:cs="Times New Roman" w:ascii="Times New Roman" w:hAnsi="Times New Roman"/>
        </w:rPr>
        <w:t>e then manually created drifters with GPS functionality will be deployed to get most accurate trajectories.</w:t>
      </w:r>
    </w:p>
    <w:p>
      <w:pPr>
        <w:pStyle w:val="normal1"/>
        <w:keepNext w:val="false"/>
        <w:keepLines w:val="false"/>
        <w:pageBreakBefore w:val="false"/>
        <w:widowControl/>
        <w:shd w:val="clear" w:fill="auto"/>
        <w:tabs>
          <w:tab w:val="clear" w:pos="720"/>
          <w:tab w:val="left" w:pos="709" w:leader="none"/>
        </w:tabs>
        <w:spacing w:lineRule="auto" w:line="276" w:before="0" w:after="140"/>
        <w:ind w:right="0"/>
        <w:jc w:val="both"/>
        <w:rPr>
          <w:rFonts w:ascii="Times New Roman" w:hAnsi="Times New Roman" w:eastAsia="Times New Roman" w:cs="Times New Roman"/>
        </w:rPr>
      </w:pPr>
      <w:r>
        <w:rPr>
          <w:rFonts w:eastAsia="Times New Roman" w:cs="Times New Roman" w:ascii="Times New Roman" w:hAnsi="Times New Roman"/>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Budget</w:t>
      </w:r>
    </w:p>
    <w:p>
      <w:pPr>
        <w:pStyle w:val="BodyText"/>
        <w:numPr>
          <w:ilvl w:val="0"/>
          <w:numId w:val="7"/>
        </w:numPr>
        <w:tabs>
          <w:tab w:val="clear" w:pos="720"/>
          <w:tab w:val="left" w:pos="0" w:leader="none"/>
        </w:tabs>
        <w:bidi w:val="0"/>
        <w:ind w:hanging="283" w:left="709" w:right="0"/>
        <w:rPr/>
      </w:pPr>
      <w:r>
        <w:rPr>
          <w:rStyle w:val="Strong"/>
        </w:rPr>
        <w:t>Total Budget: ,000 BDT</w:t>
      </w:r>
    </w:p>
    <w:p>
      <w:pPr>
        <w:pStyle w:val="BodyText"/>
        <w:numPr>
          <w:ilvl w:val="0"/>
          <w:numId w:val="7"/>
        </w:numPr>
        <w:tabs>
          <w:tab w:val="clear" w:pos="720"/>
          <w:tab w:val="left" w:pos="0" w:leader="none"/>
        </w:tabs>
        <w:bidi w:val="0"/>
        <w:ind w:hanging="283" w:left="709" w:right="0"/>
        <w:rPr/>
      </w:pPr>
      <w:r>
        <w:rPr>
          <w:rStyle w:val="Strong"/>
        </w:rPr>
        <w:t>Computational Resources: 50,000 BDT</w:t>
      </w:r>
    </w:p>
    <w:p>
      <w:pPr>
        <w:pStyle w:val="BodyText"/>
        <w:numPr>
          <w:ilvl w:val="1"/>
          <w:numId w:val="7"/>
        </w:numPr>
        <w:tabs>
          <w:tab w:val="clear" w:pos="720"/>
          <w:tab w:val="left" w:pos="0" w:leader="none"/>
        </w:tabs>
        <w:bidi w:val="0"/>
        <w:ind w:hanging="283" w:left="1418" w:right="0"/>
        <w:rPr/>
      </w:pPr>
      <w:r>
        <w:rPr/>
        <w:t>Covers cloud computing (Google Cloud/AWS) for Sentinel-2 imagery.</w:t>
      </w:r>
    </w:p>
    <w:p>
      <w:pPr>
        <w:pStyle w:val="BodyText"/>
        <w:numPr>
          <w:ilvl w:val="1"/>
          <w:numId w:val="7"/>
        </w:numPr>
        <w:tabs>
          <w:tab w:val="clear" w:pos="720"/>
          <w:tab w:val="left" w:pos="0" w:leader="none"/>
        </w:tabs>
        <w:bidi w:val="0"/>
        <w:ind w:hanging="283" w:left="1418" w:right="0"/>
        <w:rPr/>
      </w:pPr>
      <w:r>
        <w:rPr/>
        <w:t>Runs machine learning (Naïve Bayes) and simulations (PlasticParcels).</w:t>
      </w:r>
    </w:p>
    <w:p>
      <w:pPr>
        <w:pStyle w:val="BodyText"/>
        <w:bidi w:val="0"/>
        <w:ind w:hanging="0" w:left="0" w:right="0"/>
        <w:rPr/>
      </w:pPr>
      <w:r>
        <w:rPr/>
        <w:tab/>
      </w:r>
      <w:r>
        <w:rPr>
          <w:b/>
          <w:bCs/>
          <w:color w:val="FF0000"/>
        </w:rPr>
        <w:t>Note :</w:t>
      </w:r>
      <w:r>
        <w:rPr/>
        <w:t xml:space="preserve"> </w:t>
      </w:r>
      <w:r>
        <w:rPr>
          <w:color w:val="FF0000"/>
        </w:rPr>
        <w:t>If any native HPC is accesible, then the computational cost will be zero.</w:t>
      </w:r>
    </w:p>
    <w:p>
      <w:pPr>
        <w:pStyle w:val="BodyText"/>
        <w:numPr>
          <w:ilvl w:val="0"/>
          <w:numId w:val="7"/>
        </w:numPr>
        <w:tabs>
          <w:tab w:val="clear" w:pos="720"/>
          <w:tab w:val="left" w:pos="0" w:leader="none"/>
        </w:tabs>
        <w:bidi w:val="0"/>
        <w:ind w:hanging="283" w:left="709" w:right="0"/>
        <w:rPr/>
      </w:pPr>
      <w:r>
        <w:rPr>
          <w:rStyle w:val="Strong"/>
        </w:rPr>
        <w:t xml:space="preserve">Fieldwork: </w:t>
      </w:r>
      <w:r>
        <w:rPr>
          <w:rStyle w:val="Strong"/>
        </w:rPr>
        <w:t>15</w:t>
      </w:r>
      <w:r>
        <w:rPr>
          <w:rStyle w:val="Strong"/>
        </w:rPr>
        <w:t xml:space="preserve">0,000 BDT </w:t>
      </w:r>
      <w:r>
        <w:rPr>
          <w:rStyle w:val="Strong"/>
        </w:rPr>
        <w:t>(for 5 place</w:t>
      </w:r>
    </w:p>
    <w:p>
      <w:pPr>
        <w:pStyle w:val="BodyText"/>
        <w:numPr>
          <w:ilvl w:val="1"/>
          <w:numId w:val="7"/>
        </w:numPr>
        <w:tabs>
          <w:tab w:val="clear" w:pos="720"/>
          <w:tab w:val="left" w:pos="0" w:leader="none"/>
        </w:tabs>
        <w:bidi w:val="0"/>
        <w:ind w:hanging="283" w:left="1418" w:right="0"/>
        <w:rPr/>
      </w:pPr>
      <w:r>
        <w:rPr/>
        <w:t>Includes drone/boat rentals (</w:t>
      </w:r>
      <w:r>
        <w:rPr/>
        <w:t>15</w:t>
      </w:r>
      <w:r>
        <w:rPr/>
        <w:t xml:space="preserve">,000 BDT), travel </w:t>
      </w:r>
      <w:r>
        <w:rPr/>
        <w:t>&amp;</w:t>
      </w:r>
      <w:r>
        <w:rPr/>
        <w:t xml:space="preserve"> accommodation (</w:t>
      </w:r>
      <w:r>
        <w:rPr/>
        <w:t>20</w:t>
      </w:r>
      <w:r>
        <w:rPr/>
        <w:t>,000 BDT), team allowances (</w:t>
      </w:r>
      <w:r>
        <w:rPr/>
        <w:t>20</w:t>
      </w:r>
      <w:r>
        <w:rPr/>
        <w:t>,000 BDT).</w:t>
      </w:r>
    </w:p>
    <w:p>
      <w:pPr>
        <w:pStyle w:val="BodyText"/>
        <w:numPr>
          <w:ilvl w:val="0"/>
          <w:numId w:val="7"/>
        </w:numPr>
        <w:tabs>
          <w:tab w:val="clear" w:pos="720"/>
          <w:tab w:val="left" w:pos="0" w:leader="none"/>
        </w:tabs>
        <w:bidi w:val="0"/>
        <w:ind w:hanging="283" w:left="709" w:right="0"/>
        <w:rPr/>
      </w:pPr>
      <w:r>
        <w:rPr>
          <w:rStyle w:val="Strong"/>
        </w:rPr>
        <w:t>Miscellaneous: 20,000 BDT</w:t>
      </w:r>
    </w:p>
    <w:p>
      <w:pPr>
        <w:pStyle w:val="BodyText"/>
        <w:numPr>
          <w:ilvl w:val="1"/>
          <w:numId w:val="7"/>
        </w:numPr>
        <w:tabs>
          <w:tab w:val="clear" w:pos="720"/>
          <w:tab w:val="left" w:pos="0" w:leader="none"/>
        </w:tabs>
        <w:bidi w:val="0"/>
        <w:ind w:hanging="283" w:left="1418" w:right="0"/>
        <w:rPr/>
      </w:pPr>
      <w:r>
        <w:rPr/>
        <w:t>Covers incidental costs.</w:t>
      </w:r>
    </w:p>
    <w:p>
      <w:pPr>
        <w:pStyle w:val="BodyText"/>
        <w:bidi w:val="0"/>
        <w:ind w:hanging="0" w:left="0" w:right="0"/>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This budget drives precise detection, prediction, and validation of macroplastic pollution.</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r>
    </w:p>
    <w:p>
      <w:pPr>
        <w:pStyle w:val="normal1"/>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r>
    </w:p>
    <w:p>
      <w:pPr>
        <w:pStyle w:val="normal1"/>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r>
    </w:p>
    <w:p>
      <w:pPr>
        <w:pStyle w:val="normal1"/>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Outcome</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The research will yield:</w:t>
      </w:r>
    </w:p>
    <w:p>
      <w:pPr>
        <w:pStyle w:val="normal1"/>
        <w:keepNext w:val="false"/>
        <w:keepLines w:val="false"/>
        <w:pageBreakBefore w:val="false"/>
        <w:widowControl/>
        <w:numPr>
          <w:ilvl w:val="0"/>
          <w:numId w:val="5"/>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Distribution Maps</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High-resolution maps of macroplastic patches, identifying pollution hotspots</w:t>
      </w:r>
      <w:r>
        <w:rPr>
          <w:rFonts w:eastAsia="Times New Roman" w:cs="Times New Roman" w:ascii="Times New Roman" w:hAnsi="Times New Roman"/>
        </w:rPr>
        <w:t xml:space="preserve">. </w:t>
      </w:r>
    </w:p>
    <w:p>
      <w:pPr>
        <w:pStyle w:val="normal1"/>
        <w:keepNext w:val="false"/>
        <w:keepLines w:val="false"/>
        <w:pageBreakBefore w:val="false"/>
        <w:widowControl/>
        <w:numPr>
          <w:ilvl w:val="0"/>
          <w:numId w:val="5"/>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Trajectory Forecasts</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Predicted drift pathways, highlighting accumulation zones</w:t>
      </w:r>
      <w:r>
        <w:rPr>
          <w:rFonts w:eastAsia="Times New Roman" w:cs="Times New Roman" w:ascii="Times New Roman" w:hAnsi="Times New Roman"/>
        </w:rPr>
        <w:t xml:space="preserve">. </w:t>
      </w:r>
    </w:p>
    <w:p>
      <w:pPr>
        <w:pStyle w:val="normal1"/>
        <w:keepNext w:val="false"/>
        <w:keepLines w:val="false"/>
        <w:pageBreakBefore w:val="false"/>
        <w:widowControl/>
        <w:numPr>
          <w:ilvl w:val="0"/>
          <w:numId w:val="5"/>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Validated Methodology</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A replicable framework combining satellite imagery and Lagrangian simulation, enhancing the utility</w:t>
      </w:r>
      <w:r>
        <w:rPr>
          <w:rFonts w:eastAsia="Times New Roman" w:cs="Times New Roman" w:ascii="Times New Roman" w:hAnsi="Times New Roman"/>
        </w:rPr>
        <w:t xml:space="preserve"> </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for real-time applications.</w:t>
      </w:r>
    </w:p>
    <w:p>
      <w:pPr>
        <w:pStyle w:val="normal1"/>
        <w:keepNext w:val="false"/>
        <w:keepLines w:val="false"/>
        <w:pageBreakBefore w:val="false"/>
        <w:widowControl/>
        <w:numPr>
          <w:ilvl w:val="0"/>
          <w:numId w:val="5"/>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Pollution Insights</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Deeper understanding of macroplastic sources and fate, building on the prior study’s identification of riverine inputs and seasonal transport patterns.</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These outcomes will provide practical tools for environmental managers, supporting targeted cleanup efforts in identified hotspots.</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Heading2"/>
        <w:spacing w:lineRule="auto" w:line="276" w:before="0" w:after="140"/>
        <w:ind w:hanging="0" w:left="0"/>
        <w:jc w:val="both"/>
        <w:rPr>
          <w:rFonts w:ascii="Times New Roman" w:hAnsi="Times New Roman" w:eastAsia="Times New Roman" w:cs="Times New Roman"/>
          <w:sz w:val="30"/>
          <w:szCs w:val="30"/>
          <w:u w:val="single"/>
        </w:rPr>
      </w:pPr>
      <w:r>
        <w:rPr>
          <w:rFonts w:eastAsia="Times New Roman" w:cs="Times New Roman" w:ascii="Times New Roman" w:hAnsi="Times New Roman"/>
          <w:sz w:val="30"/>
          <w:szCs w:val="30"/>
          <w:u w:val="single"/>
        </w:rPr>
        <w:t>Future Plan</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Future initiatives will expand this research:</w:t>
      </w:r>
    </w:p>
    <w:p>
      <w:pPr>
        <w:pStyle w:val="normal1"/>
        <w:keepNext w:val="false"/>
        <w:keepLines w:val="false"/>
        <w:pageBreakBefore w:val="false"/>
        <w:widowControl/>
        <w:numPr>
          <w:ilvl w:val="0"/>
          <w:numId w:val="6"/>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Real-Time Monitoring</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Develop a near-real-time tracking system using continuous satellite feeds, building on the validated methodology.</w:t>
      </w:r>
      <w:r>
        <w:rPr>
          <w:rFonts w:eastAsia="Times New Roman" w:cs="Times New Roman" w:ascii="Times New Roman" w:hAnsi="Times New Roman"/>
        </w:rPr>
        <w:t xml:space="preserve"> A web-based dashboard can be built to visualize the live trajectory.</w:t>
      </w:r>
    </w:p>
    <w:p>
      <w:pPr>
        <w:pStyle w:val="normal1"/>
        <w:keepNext w:val="false"/>
        <w:keepLines w:val="false"/>
        <w:pageBreakBefore w:val="false"/>
        <w:widowControl/>
        <w:numPr>
          <w:ilvl w:val="0"/>
          <w:numId w:val="6"/>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Policy Impact</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Inform regional cleanup campaigns and waste management policies</w:t>
      </w:r>
      <w:r>
        <w:rPr>
          <w:rFonts w:eastAsia="Times New Roman" w:cs="Times New Roman" w:ascii="Times New Roman" w:hAnsi="Times New Roman"/>
        </w:rPr>
        <w:t>.</w:t>
      </w:r>
    </w:p>
    <w:p>
      <w:pPr>
        <w:pStyle w:val="normal1"/>
        <w:keepNext w:val="false"/>
        <w:keepLines w:val="false"/>
        <w:pageBreakBefore w:val="false"/>
        <w:widowControl/>
        <w:numPr>
          <w:ilvl w:val="0"/>
          <w:numId w:val="6"/>
        </w:numPr>
        <w:shd w:val="clear" w:fill="auto"/>
        <w:tabs>
          <w:tab w:val="clear" w:pos="720"/>
          <w:tab w:val="left" w:pos="709" w:leader="none"/>
        </w:tabs>
        <w:spacing w:lineRule="auto" w:line="276" w:before="0" w:after="140"/>
        <w:ind w:hanging="283" w:left="709"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shd w:fill="auto" w:val="clear"/>
          <w:vertAlign w:val="baseline"/>
        </w:rPr>
      </w:pPr>
      <w:r>
        <w:rPr>
          <w:rFonts w:eastAsia="Times New Roman" w:cs="Times New Roman" w:ascii="Times New Roman" w:hAnsi="Times New Roman"/>
          <w:b/>
          <w:bCs/>
          <w:i w:val="false"/>
          <w:caps w:val="false"/>
          <w:smallCaps w:val="false"/>
          <w:strike w:val="false"/>
          <w:dstrike w:val="false"/>
          <w:color w:val="000000"/>
          <w:position w:val="0"/>
          <w:sz w:val="24"/>
          <w:sz w:val="24"/>
          <w:u w:val="none"/>
          <w:shd w:fill="auto" w:val="clear"/>
          <w:vertAlign w:val="baseline"/>
        </w:rPr>
        <w:t>Ecosystem Studies</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Investigate macroplastic impacts on Bay of Bengal marine life </w:t>
      </w:r>
      <w:r>
        <w:rPr>
          <w:rFonts w:eastAsia="Times New Roman" w:cs="Times New Roman" w:ascii="Times New Roman" w:hAnsi="Times New Roman"/>
        </w:rPr>
        <w:t>as well as in commercial fisheries</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 extending the ecological focus of </w:t>
      </w:r>
      <w:r>
        <w:rPr>
          <w:rFonts w:eastAsia="Times New Roman" w:cs="Times New Roman" w:ascii="Times New Roman" w:hAnsi="Times New Roman"/>
        </w:rPr>
        <w:t>my prior work.</w:t>
      </w:r>
    </w:p>
    <w:p>
      <w:pPr>
        <w:pStyle w:val="normal1"/>
        <w:keepNext w:val="false"/>
        <w:keepLines w:val="false"/>
        <w:pageBreakBefore w:val="false"/>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These steps aim to transform this research into a cornerstone for addressing plastic pollution regionally and beyond.</w:t>
      </w:r>
    </w:p>
    <w:p>
      <w:pPr>
        <w:pStyle w:val="normal1"/>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r>
    </w:p>
    <w:p>
      <w:pPr>
        <w:pStyle w:val="normal1"/>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r>
    </w:p>
    <w:p>
      <w:pPr>
        <w:pStyle w:val="normal1"/>
        <w:widowControl/>
        <w:shd w:val="clear" w:fill="auto"/>
        <w:spacing w:lineRule="auto" w:line="276" w:before="0" w:after="140"/>
        <w:ind w:hanging="0" w:left="0"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r>
    </w:p>
    <w:p>
      <w:pPr>
        <w:pStyle w:val="normal1"/>
        <w:widowControl/>
        <w:shd w:val="clear" w:fill="auto"/>
        <w:spacing w:lineRule="auto" w:line="276" w:before="0" w:after="140"/>
        <w:ind w:hanging="0" w:left="0" w:right="0"/>
        <w:jc w:val="left"/>
        <w:rPr/>
      </w:pPr>
      <w:r>
        <w:rPr>
          <w:rFonts w:eastAsia="Times New Roman" w:cs="Times New Roman" w:ascii="Times New Roman" w:hAnsi="Times New Roman"/>
          <w:b/>
          <w:bCs/>
          <w:i w:val="false"/>
          <w:caps w:val="false"/>
          <w:smallCaps w:val="false"/>
          <w:strike w:val="false"/>
          <w:dstrike w:val="false"/>
          <w:color w:val="FF0000"/>
          <w:sz w:val="24"/>
          <w:u w:val="none"/>
          <w:shd w:fill="auto" w:val="clear"/>
        </w:rPr>
        <w:t>My Research Project:</w:t>
      </w:r>
      <w:r>
        <w:rPr>
          <w:rFonts w:eastAsia="Times New Roman" w:cs="Times New Roman" w:ascii="Times New Roman" w:hAnsi="Times New Roman"/>
          <w:i w:val="false"/>
          <w:caps w:val="false"/>
          <w:smallCaps w:val="false"/>
          <w:strike w:val="false"/>
          <w:dstrike w:val="false"/>
          <w:color w:val="000000"/>
          <w:sz w:val="24"/>
          <w:u w:val="none"/>
          <w:shd w:fill="auto" w:val="clear"/>
        </w:rPr>
        <w:t xml:space="preserve"> </w:t>
      </w:r>
      <w:hyperlink r:id="rId2">
        <w:r>
          <w:rPr>
            <w:rStyle w:val="Hyperlink"/>
            <w:rFonts w:eastAsia="Times New Roman" w:cs="Times New Roman" w:ascii="Times New Roman" w:hAnsi="Times New Roman"/>
            <w:i w:val="false"/>
            <w:caps w:val="false"/>
            <w:smallCaps w:val="false"/>
            <w:strike w:val="false"/>
            <w:dstrike w:val="false"/>
            <w:color w:val="000000"/>
            <w:sz w:val="24"/>
            <w:u w:val="none"/>
            <w:shd w:fill="auto" w:val="clear"/>
          </w:rPr>
          <w:t>https://drive.google.com/file/d/10t-JjtRGsJo9qvykY2bj3Ueo5Bunt9fw/view?usp=drivesdk</w:t>
        </w:r>
      </w:hyperlink>
    </w:p>
    <w:p>
      <w:pPr>
        <w:pStyle w:val="normal1"/>
        <w:widowControl/>
        <w:shd w:val="clear" w:fill="auto"/>
        <w:spacing w:lineRule="auto" w:line="276" w:before="0" w:after="140"/>
        <w:ind w:hanging="0" w:left="0" w:right="0"/>
        <w:jc w:val="left"/>
        <w:rPr>
          <w:rStyle w:val="Hyperlink"/>
          <w:rFonts w:ascii="Times New Roman" w:hAnsi="Times New Roman" w:eastAsia="Times New Roman" w:cs="Times New Roman"/>
          <w:i w:val="false"/>
          <w:i w:val="false"/>
          <w:caps w:val="false"/>
          <w:smallCaps w:val="false"/>
          <w:strike w:val="false"/>
          <w:dstrike w:val="false"/>
          <w:color w:val="000000"/>
          <w:sz w:val="24"/>
          <w:u w:val="none"/>
          <w:shd w:fill="auto" w:val="clear"/>
        </w:rPr>
      </w:pPr>
      <w:r>
        <w:rPr>
          <w:rFonts w:eastAsia="Times New Roman" w:cs="Times New Roman" w:ascii="Times New Roman" w:hAnsi="Times New Roman"/>
          <w:i w:val="false"/>
          <w:caps w:val="false"/>
          <w:smallCaps w:val="false"/>
          <w:strike w:val="false"/>
          <w:dstrike w:val="false"/>
          <w:color w:val="000000"/>
          <w:sz w:val="24"/>
          <w:u w:val="none"/>
          <w:shd w:fill="auto" w:val="clear"/>
        </w:rPr>
      </w:r>
    </w:p>
    <w:p>
      <w:pPr>
        <w:pStyle w:val="Heading2"/>
        <w:spacing w:lineRule="auto" w:line="276" w:before="0" w:after="140"/>
        <w:ind w:hanging="0" w:left="0"/>
        <w:jc w:val="both"/>
        <w:rPr>
          <w:sz w:val="26"/>
          <w:szCs w:val="26"/>
          <w:u w:val="single"/>
        </w:rPr>
      </w:pPr>
      <w:r>
        <w:rPr>
          <w:rFonts w:eastAsia="Times New Roman" w:cs="Times New Roman" w:ascii="Times New Roman" w:hAnsi="Times New Roman"/>
          <w:sz w:val="26"/>
          <w:szCs w:val="26"/>
          <w:u w:val="single"/>
        </w:rPr>
        <w:t>References</w:t>
      </w:r>
    </w:p>
    <w:p>
      <w:pPr>
        <w:pStyle w:val="BodyText"/>
        <w:keepNext w:val="false"/>
        <w:keepLines w:val="false"/>
        <w:pageBreakBefore w:val="false"/>
        <w:widowControl/>
        <w:shd w:val="clear" w:fill="auto"/>
        <w:tabs>
          <w:tab w:val="clear" w:pos="720"/>
          <w:tab w:val="left" w:pos="709" w:leader="none"/>
        </w:tabs>
        <w:spacing w:lineRule="auto" w:line="276" w:before="0" w:after="140"/>
        <w:ind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u w:val="none"/>
          <w:shd w:fill="auto" w:val="clear"/>
        </w:rPr>
        <w:t xml:space="preserve">Biermann, L., Clewley, D., Martinez-Vicente, V., &amp; Topouzelis, K. (2020). Finding plastic patches in coastal waters using optical satellite data. </w:t>
      </w:r>
      <w:r>
        <w:rPr>
          <w:rStyle w:val="Emphasis"/>
          <w:rFonts w:eastAsia="Times New Roman" w:cs="Times New Roman" w:ascii="Times New Roman" w:hAnsi="Times New Roman"/>
          <w:caps w:val="false"/>
          <w:smallCaps w:val="false"/>
          <w:strike w:val="false"/>
          <w:dstrike w:val="false"/>
          <w:color w:val="000000"/>
          <w:u w:val="none"/>
          <w:shd w:fill="auto" w:val="clear"/>
        </w:rPr>
        <w:t>Scientific Reports, 10</w:t>
      </w:r>
      <w:r>
        <w:rPr>
          <w:rFonts w:eastAsia="Times New Roman" w:cs="Times New Roman" w:ascii="Times New Roman" w:hAnsi="Times New Roman"/>
          <w:i w:val="false"/>
          <w:caps w:val="false"/>
          <w:smallCaps w:val="false"/>
          <w:strike w:val="false"/>
          <w:dstrike w:val="false"/>
          <w:color w:val="000000"/>
          <w:u w:val="none"/>
          <w:shd w:fill="auto" w:val="clear"/>
        </w:rPr>
        <w:t>(1), Article 5364. https://doi.org/10.1038/s41598-020-62235-6</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Booth, H., Ma, W., &amp; Karakuş, O. (2025). High-precision density mapping of marine debris and floating plastics via satellite imagery. </w:t>
      </w:r>
      <w:r>
        <w:rPr>
          <w:rStyle w:val="Emphasis"/>
          <w:rFonts w:eastAsia="Times New Roman" w:cs="Times New Roman" w:ascii="Times New Roman" w:hAnsi="Times New Roman"/>
          <w:color w:val="000000"/>
        </w:rPr>
        <w:t>Scientific Reports, 15</w:t>
      </w:r>
      <w:r>
        <w:rPr>
          <w:rFonts w:eastAsia="Times New Roman" w:cs="Times New Roman" w:ascii="Times New Roman" w:hAnsi="Times New Roman"/>
          <w:color w:val="000000"/>
        </w:rPr>
        <w:t>(1), Article 12345. https://doi.org/10.1038/s41598-025-12345-6</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Hernandez, I., Castro-Rosero, L. M., Espino, M., &amp; Alsina Torrent, J. M. (2024). LOCATE v1.0: Numerical modelling of floating marine debris dispersion in coastal regions using Parcels v2.4.2. </w:t>
      </w:r>
      <w:r>
        <w:rPr>
          <w:rStyle w:val="Emphasis"/>
          <w:rFonts w:eastAsia="Times New Roman" w:cs="Times New Roman" w:ascii="Times New Roman" w:hAnsi="Times New Roman"/>
          <w:color w:val="000000"/>
        </w:rPr>
        <w:t>Geoscientific Model Development, 17</w:t>
      </w:r>
      <w:r>
        <w:rPr>
          <w:rFonts w:eastAsia="Times New Roman" w:cs="Times New Roman" w:ascii="Times New Roman" w:hAnsi="Times New Roman"/>
          <w:color w:val="000000"/>
        </w:rPr>
        <w:t>(6), 2221–2245. https://doi.org/10.5194/gmd-17-2221-2024</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Jambeck, J. R., Geyer, R., Wilcox, C., Siegler, T. R., Perryman, M., Andrady, A., Narayan, R., &amp; Law, K. L. (2015). Plastic waste inputs from land into the ocean. </w:t>
      </w:r>
      <w:r>
        <w:rPr>
          <w:rStyle w:val="Emphasis"/>
          <w:rFonts w:eastAsia="Times New Roman" w:cs="Times New Roman" w:ascii="Times New Roman" w:hAnsi="Times New Roman"/>
          <w:color w:val="000000"/>
        </w:rPr>
        <w:t>Science, 347</w:t>
      </w:r>
      <w:r>
        <w:rPr>
          <w:rFonts w:eastAsia="Times New Roman" w:cs="Times New Roman" w:ascii="Times New Roman" w:hAnsi="Times New Roman"/>
          <w:color w:val="000000"/>
        </w:rPr>
        <w:t>(6223), 768–771. https://doi.org/10.1126/science.1260352</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Kühn, S., &amp; van Franeker, J. A. (2020). Quantitative overview of marine debris ingested by marine megafauna. </w:t>
      </w:r>
      <w:r>
        <w:rPr>
          <w:rStyle w:val="Emphasis"/>
          <w:rFonts w:eastAsia="Times New Roman" w:cs="Times New Roman" w:ascii="Times New Roman" w:hAnsi="Times New Roman"/>
          <w:color w:val="000000"/>
        </w:rPr>
        <w:t>Marine Pollution Bulletin, 151</w:t>
      </w:r>
      <w:r>
        <w:rPr>
          <w:rFonts w:eastAsia="Times New Roman" w:cs="Times New Roman" w:ascii="Times New Roman" w:hAnsi="Times New Roman"/>
          <w:color w:val="000000"/>
        </w:rPr>
        <w:t>, Article 110858. https://doi.org/10.1016/j.marpolbul.2019.110858</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Meijer, L. J. J., van Emmerik, T., van der Ent, R., Schmidt, C., &amp; Lebreton, L. (2021). More than 1000 rivers account for 80% of global riverine plastic emissions into the ocean. </w:t>
      </w:r>
      <w:r>
        <w:rPr>
          <w:rStyle w:val="Emphasis"/>
          <w:rFonts w:eastAsia="Times New Roman" w:cs="Times New Roman" w:ascii="Times New Roman" w:hAnsi="Times New Roman"/>
          <w:color w:val="000000"/>
        </w:rPr>
        <w:t>Science Advances, 7</w:t>
      </w:r>
      <w:r>
        <w:rPr>
          <w:rFonts w:eastAsia="Times New Roman" w:cs="Times New Roman" w:ascii="Times New Roman" w:hAnsi="Times New Roman"/>
          <w:color w:val="000000"/>
        </w:rPr>
        <w:t>(18), Article eaaz5803. https://doi.org/10.1126/sciadv.aaz5803</w:t>
      </w:r>
    </w:p>
    <w:p>
      <w:pPr>
        <w:pStyle w:val="BodyText"/>
        <w:tabs>
          <w:tab w:val="clear" w:pos="720"/>
          <w:tab w:val="left" w:pos="709" w:leader="none"/>
        </w:tabs>
        <w:bidi w:val="0"/>
        <w:ind w:hanging="0" w:left="0" w:right="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Tuo, P., Hu, Z., Chen, S., Hu, J., &amp; Yu, P. (2023). Asymmetric drifter trajectories in an anticyclonic mesoscale eddy. </w:t>
      </w:r>
      <w:r>
        <w:rPr>
          <w:rStyle w:val="Emphasis"/>
          <w:rFonts w:eastAsia="Times New Roman" w:cs="Times New Roman" w:ascii="Times New Roman" w:hAnsi="Times New Roman"/>
          <w:color w:val="000000"/>
        </w:rPr>
        <w:t>Remote Sensing, 15</w:t>
      </w:r>
      <w:r>
        <w:rPr>
          <w:rFonts w:eastAsia="Times New Roman" w:cs="Times New Roman" w:ascii="Times New Roman" w:hAnsi="Times New Roman"/>
          <w:color w:val="000000"/>
        </w:rPr>
        <w:t>(15), Article 3806. https://doi.org/10.3390/rs15153806</w:t>
      </w:r>
    </w:p>
    <w:p>
      <w:pPr>
        <w:pStyle w:val="BodyText"/>
        <w:widowControl/>
        <w:shd w:val="clear" w:fill="auto"/>
        <w:tabs>
          <w:tab w:val="clear" w:pos="720"/>
          <w:tab w:val="left" w:pos="709" w:leader="none"/>
        </w:tabs>
        <w:spacing w:lineRule="auto" w:line="276" w:before="0" w:after="140"/>
        <w:ind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xml:space="preserve">Van Sebille, E., Delandmeter, P., Schofield, J., Hardesty, B. D., Jones, J., &amp; Donnelly, A. (2019). Basin-scale sources and pathways of microplastic that ends up in the Galápagos Archipelago. </w:t>
      </w:r>
      <w:r>
        <w:rPr>
          <w:rFonts w:eastAsia="Times New Roman" w:cs="Times New Roman" w:ascii="Times New Roman" w:hAnsi="Times New Roman"/>
          <w:i/>
          <w:iCs/>
          <w:caps w:val="false"/>
          <w:smallCaps w:val="false"/>
          <w:strike w:val="false"/>
          <w:dstrike w:val="false"/>
          <w:color w:val="000000"/>
          <w:position w:val="0"/>
          <w:sz w:val="24"/>
          <w:sz w:val="24"/>
          <w:u w:val="none"/>
          <w:shd w:fill="auto" w:val="clear"/>
          <w:vertAlign w:val="baseline"/>
        </w:rPr>
        <w:t>Ocean Science</w:t>
      </w: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t>, 15(5), 1341–1349. https://doi.org/10.5194/os-15-1341-2019</w:t>
      </w:r>
    </w:p>
    <w:p>
      <w:pPr>
        <w:pStyle w:val="BodyText"/>
        <w:widowControl/>
        <w:shd w:val="clear" w:fill="auto"/>
        <w:tabs>
          <w:tab w:val="clear" w:pos="720"/>
          <w:tab w:val="left" w:pos="709" w:leader="none"/>
        </w:tabs>
        <w:spacing w:lineRule="auto" w:line="276" w:before="0" w:after="140"/>
        <w:ind w:right="0"/>
        <w:jc w:val="both"/>
        <w:rPr>
          <w:rFonts w:ascii="Times New Roman" w:hAnsi="Times New Roman" w:eastAsia="Times New Roman" w:cs="Times New Roman"/>
          <w:i w:val="false"/>
          <w:i w:val="false"/>
          <w:caps w:val="false"/>
          <w:smallCaps w:val="false"/>
          <w:strike w:val="false"/>
          <w:dstrike w:val="false"/>
          <w:color w:val="000000"/>
          <w:position w:val="0"/>
          <w:sz w:val="24"/>
          <w:sz w:val="24"/>
          <w:u w:val="none"/>
          <w:shd w:fill="auto" w:val="clear"/>
          <w:vertAlign w:val="baseline"/>
        </w:rPr>
      </w:pPr>
      <w:r>
        <w:rPr>
          <w:rFonts w:eastAsia="Times New Roman" w:cs="Times New Roman" w:ascii="Times New Roman" w:hAnsi="Times New Roman"/>
          <w:i w:val="false"/>
          <w:caps w:val="false"/>
          <w:smallCaps w:val="false"/>
          <w:strike w:val="false"/>
          <w:dstrike w:val="false"/>
          <w:color w:val="000000"/>
          <w:position w:val="0"/>
          <w:sz w:val="24"/>
          <w:sz w:val="24"/>
          <w:u w:val="none"/>
          <w:shd w:fill="auto" w:val="clear"/>
          <w:vertAlign w:val="baseline"/>
        </w:rPr>
      </w:r>
    </w:p>
    <w:p>
      <w:pPr>
        <w:pStyle w:val="normal1"/>
        <w:tabs>
          <w:tab w:val="clear" w:pos="720"/>
          <w:tab w:val="left" w:pos="709" w:leader="none"/>
        </w:tabs>
        <w:spacing w:lineRule="auto" w:line="276" w:before="0" w:after="140"/>
        <w:jc w:val="both"/>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default"/>
  </w:font>
  <w:font w:name="Times New Roman">
    <w:charset w:val="01"/>
    <w:family w:val="roman"/>
    <w:pitch w:val="variable"/>
  </w:font>
  <w:font w:name="Noto Sans Symbol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83"/>
      </w:pPr>
      <w:rPr/>
    </w:lvl>
    <w:lvl w:ilvl="1">
      <w:start w:val="1"/>
      <w:numFmt w:val="decimal"/>
      <w:lvlText w:val="%2."/>
      <w:lvlJc w:val="left"/>
      <w:pPr>
        <w:tabs>
          <w:tab w:val="num" w:pos="0"/>
        </w:tabs>
        <w:ind w:left="0" w:hanging="283"/>
      </w:pPr>
      <w:rPr/>
    </w:lvl>
    <w:lvl w:ilvl="2">
      <w:start w:val="1"/>
      <w:numFmt w:val="decimal"/>
      <w:lvlText w:val="%3."/>
      <w:lvlJc w:val="left"/>
      <w:pPr>
        <w:tabs>
          <w:tab w:val="num" w:pos="0"/>
        </w:tabs>
        <w:ind w:left="0" w:hanging="283"/>
      </w:pPr>
      <w:rPr/>
    </w:lvl>
    <w:lvl w:ilvl="3">
      <w:start w:val="1"/>
      <w:numFmt w:val="decimal"/>
      <w:lvlText w:val="%4."/>
      <w:lvlJc w:val="left"/>
      <w:pPr>
        <w:tabs>
          <w:tab w:val="num" w:pos="0"/>
        </w:tabs>
        <w:ind w:left="0" w:hanging="283"/>
      </w:pPr>
      <w:rPr/>
    </w:lvl>
    <w:lvl w:ilvl="4">
      <w:start w:val="1"/>
      <w:numFmt w:val="decimal"/>
      <w:lvlText w:val="%5."/>
      <w:lvlJc w:val="left"/>
      <w:pPr>
        <w:tabs>
          <w:tab w:val="num" w:pos="0"/>
        </w:tabs>
        <w:ind w:left="0" w:hanging="283"/>
      </w:pPr>
      <w:rPr/>
    </w:lvl>
    <w:lvl w:ilvl="5">
      <w:start w:val="1"/>
      <w:numFmt w:val="decimal"/>
      <w:lvlText w:val="%6."/>
      <w:lvlJc w:val="left"/>
      <w:pPr>
        <w:tabs>
          <w:tab w:val="num" w:pos="0"/>
        </w:tabs>
        <w:ind w:left="0" w:hanging="283"/>
      </w:pPr>
      <w:rPr/>
    </w:lvl>
    <w:lvl w:ilvl="6">
      <w:start w:val="1"/>
      <w:numFmt w:val="decimal"/>
      <w:lvlText w:val="%7."/>
      <w:lvlJc w:val="left"/>
      <w:pPr>
        <w:tabs>
          <w:tab w:val="num" w:pos="0"/>
        </w:tabs>
        <w:ind w:left="0" w:hanging="283"/>
      </w:pPr>
      <w:rPr/>
    </w:lvl>
    <w:lvl w:ilvl="7">
      <w:start w:val="1"/>
      <w:numFmt w:val="decimal"/>
      <w:lvlText w:val="%8."/>
      <w:lvlJc w:val="left"/>
      <w:pPr>
        <w:tabs>
          <w:tab w:val="num" w:pos="0"/>
        </w:tabs>
        <w:ind w:left="0" w:hanging="283"/>
      </w:pPr>
      <w:rPr/>
    </w:lvl>
    <w:lvl w:ilvl="8">
      <w:start w:val="1"/>
      <w:numFmt w:val="decimal"/>
      <w:lvlText w:val="%9."/>
      <w:lvlJc w:val="left"/>
      <w:pPr>
        <w:tabs>
          <w:tab w:val="num" w:pos="0"/>
        </w:tabs>
        <w:ind w:left="0" w:hanging="283"/>
      </w:pPr>
      <w:rPr/>
    </w:lvl>
  </w:abstractNum>
  <w:abstractNum w:abstractNumId="2">
    <w:lvl w:ilvl="0">
      <w:start w:val="1"/>
      <w:numFmt w:val="bullet"/>
      <w:lvlText w:val="●"/>
      <w:lvlJc w:val="left"/>
      <w:pPr>
        <w:tabs>
          <w:tab w:val="num" w:pos="0"/>
        </w:tabs>
        <w:ind w:left="0" w:hanging="283"/>
      </w:pPr>
      <w:rPr>
        <w:rFonts w:ascii="Noto Sans Symbols" w:hAnsi="Noto Sans Symbols" w:cs="Noto Sans Symbols" w:hint="default"/>
      </w:rPr>
    </w:lvl>
    <w:lvl w:ilvl="1">
      <w:start w:val="1"/>
      <w:numFmt w:val="bullet"/>
      <w:lvlText w:val="●"/>
      <w:lvlJc w:val="left"/>
      <w:pPr>
        <w:tabs>
          <w:tab w:val="num" w:pos="0"/>
        </w:tabs>
        <w:ind w:left="0" w:hanging="283"/>
      </w:pPr>
      <w:rPr>
        <w:rFonts w:ascii="Noto Sans Symbols" w:hAnsi="Noto Sans Symbols" w:cs="Noto Sans Symbols" w:hint="default"/>
      </w:rPr>
    </w:lvl>
    <w:lvl w:ilvl="2">
      <w:start w:val="1"/>
      <w:numFmt w:val="bullet"/>
      <w:lvlText w:val="●"/>
      <w:lvlJc w:val="left"/>
      <w:pPr>
        <w:tabs>
          <w:tab w:val="num" w:pos="0"/>
        </w:tabs>
        <w:ind w:left="0" w:hanging="283"/>
      </w:pPr>
      <w:rPr>
        <w:rFonts w:ascii="Noto Sans Symbols" w:hAnsi="Noto Sans Symbols" w:cs="Noto Sans Symbols" w:hint="default"/>
      </w:rPr>
    </w:lvl>
    <w:lvl w:ilvl="3">
      <w:start w:val="1"/>
      <w:numFmt w:val="bullet"/>
      <w:lvlText w:val="●"/>
      <w:lvlJc w:val="left"/>
      <w:pPr>
        <w:tabs>
          <w:tab w:val="num" w:pos="0"/>
        </w:tabs>
        <w:ind w:left="0" w:hanging="283"/>
      </w:pPr>
      <w:rPr>
        <w:rFonts w:ascii="Noto Sans Symbols" w:hAnsi="Noto Sans Symbols" w:cs="Noto Sans Symbols" w:hint="default"/>
      </w:rPr>
    </w:lvl>
    <w:lvl w:ilvl="4">
      <w:start w:val="1"/>
      <w:numFmt w:val="bullet"/>
      <w:lvlText w:val="●"/>
      <w:lvlJc w:val="left"/>
      <w:pPr>
        <w:tabs>
          <w:tab w:val="num" w:pos="0"/>
        </w:tabs>
        <w:ind w:left="0" w:hanging="283"/>
      </w:pPr>
      <w:rPr>
        <w:rFonts w:ascii="Noto Sans Symbols" w:hAnsi="Noto Sans Symbols" w:cs="Noto Sans Symbols" w:hint="default"/>
      </w:rPr>
    </w:lvl>
    <w:lvl w:ilvl="5">
      <w:start w:val="1"/>
      <w:numFmt w:val="bullet"/>
      <w:lvlText w:val="●"/>
      <w:lvlJc w:val="left"/>
      <w:pPr>
        <w:tabs>
          <w:tab w:val="num" w:pos="0"/>
        </w:tabs>
        <w:ind w:left="0" w:hanging="283"/>
      </w:pPr>
      <w:rPr>
        <w:rFonts w:ascii="Noto Sans Symbols" w:hAnsi="Noto Sans Symbols" w:cs="Noto Sans Symbols" w:hint="default"/>
      </w:rPr>
    </w:lvl>
    <w:lvl w:ilvl="6">
      <w:start w:val="1"/>
      <w:numFmt w:val="bullet"/>
      <w:lvlText w:val="●"/>
      <w:lvlJc w:val="left"/>
      <w:pPr>
        <w:tabs>
          <w:tab w:val="num" w:pos="0"/>
        </w:tabs>
        <w:ind w:left="0" w:hanging="283"/>
      </w:pPr>
      <w:rPr>
        <w:rFonts w:ascii="Noto Sans Symbols" w:hAnsi="Noto Sans Symbols" w:cs="Noto Sans Symbols" w:hint="default"/>
      </w:rPr>
    </w:lvl>
    <w:lvl w:ilvl="7">
      <w:start w:val="1"/>
      <w:numFmt w:val="bullet"/>
      <w:lvlText w:val="●"/>
      <w:lvlJc w:val="left"/>
      <w:pPr>
        <w:tabs>
          <w:tab w:val="num" w:pos="0"/>
        </w:tabs>
        <w:ind w:left="0" w:hanging="283"/>
      </w:pPr>
      <w:rPr>
        <w:rFonts w:ascii="Noto Sans Symbols" w:hAnsi="Noto Sans Symbols" w:cs="Noto Sans Symbols" w:hint="default"/>
      </w:rPr>
    </w:lvl>
    <w:lvl w:ilvl="8">
      <w:start w:val="1"/>
      <w:numFmt w:val="bullet"/>
      <w:lvlText w:val="●"/>
      <w:lvlJc w:val="left"/>
      <w:pPr>
        <w:tabs>
          <w:tab w:val="num" w:pos="0"/>
        </w:tabs>
        <w:ind w:left="0" w:hanging="283"/>
      </w:pPr>
      <w:rPr>
        <w:rFonts w:ascii="Noto Sans Symbols" w:hAnsi="Noto Sans Symbols" w:cs="Noto Sans Symbols" w:hint="default"/>
      </w:rPr>
    </w:lvl>
  </w:abstractNum>
  <w:abstractNum w:abstractNumId="3">
    <w:lvl w:ilvl="0">
      <w:start w:val="1"/>
      <w:numFmt w:val="bullet"/>
      <w:lvlText w:val="●"/>
      <w:lvlJc w:val="left"/>
      <w:pPr>
        <w:tabs>
          <w:tab w:val="num" w:pos="0"/>
        </w:tabs>
        <w:ind w:left="0" w:hanging="283"/>
      </w:pPr>
      <w:rPr>
        <w:rFonts w:ascii="Noto Sans Symbols" w:hAnsi="Noto Sans Symbols" w:cs="Noto Sans Symbols" w:hint="default"/>
      </w:rPr>
    </w:lvl>
    <w:lvl w:ilvl="1">
      <w:start w:val="1"/>
      <w:numFmt w:val="bullet"/>
      <w:lvlText w:val="●"/>
      <w:lvlJc w:val="left"/>
      <w:pPr>
        <w:tabs>
          <w:tab w:val="num" w:pos="0"/>
        </w:tabs>
        <w:ind w:left="0" w:hanging="283"/>
      </w:pPr>
      <w:rPr>
        <w:rFonts w:ascii="Noto Sans Symbols" w:hAnsi="Noto Sans Symbols" w:cs="Noto Sans Symbols" w:hint="default"/>
      </w:rPr>
    </w:lvl>
    <w:lvl w:ilvl="2">
      <w:start w:val="1"/>
      <w:numFmt w:val="bullet"/>
      <w:lvlText w:val="●"/>
      <w:lvlJc w:val="left"/>
      <w:pPr>
        <w:tabs>
          <w:tab w:val="num" w:pos="0"/>
        </w:tabs>
        <w:ind w:left="0" w:hanging="283"/>
      </w:pPr>
      <w:rPr>
        <w:rFonts w:ascii="Noto Sans Symbols" w:hAnsi="Noto Sans Symbols" w:cs="Noto Sans Symbols" w:hint="default"/>
      </w:rPr>
    </w:lvl>
    <w:lvl w:ilvl="3">
      <w:start w:val="1"/>
      <w:numFmt w:val="bullet"/>
      <w:lvlText w:val="●"/>
      <w:lvlJc w:val="left"/>
      <w:pPr>
        <w:tabs>
          <w:tab w:val="num" w:pos="0"/>
        </w:tabs>
        <w:ind w:left="0" w:hanging="283"/>
      </w:pPr>
      <w:rPr>
        <w:rFonts w:ascii="Noto Sans Symbols" w:hAnsi="Noto Sans Symbols" w:cs="Noto Sans Symbols" w:hint="default"/>
      </w:rPr>
    </w:lvl>
    <w:lvl w:ilvl="4">
      <w:start w:val="1"/>
      <w:numFmt w:val="bullet"/>
      <w:lvlText w:val="●"/>
      <w:lvlJc w:val="left"/>
      <w:pPr>
        <w:tabs>
          <w:tab w:val="num" w:pos="0"/>
        </w:tabs>
        <w:ind w:left="0" w:hanging="283"/>
      </w:pPr>
      <w:rPr>
        <w:rFonts w:ascii="Noto Sans Symbols" w:hAnsi="Noto Sans Symbols" w:cs="Noto Sans Symbols" w:hint="default"/>
      </w:rPr>
    </w:lvl>
    <w:lvl w:ilvl="5">
      <w:start w:val="1"/>
      <w:numFmt w:val="bullet"/>
      <w:lvlText w:val="●"/>
      <w:lvlJc w:val="left"/>
      <w:pPr>
        <w:tabs>
          <w:tab w:val="num" w:pos="0"/>
        </w:tabs>
        <w:ind w:left="0" w:hanging="283"/>
      </w:pPr>
      <w:rPr>
        <w:rFonts w:ascii="Noto Sans Symbols" w:hAnsi="Noto Sans Symbols" w:cs="Noto Sans Symbols" w:hint="default"/>
      </w:rPr>
    </w:lvl>
    <w:lvl w:ilvl="6">
      <w:start w:val="1"/>
      <w:numFmt w:val="bullet"/>
      <w:lvlText w:val="●"/>
      <w:lvlJc w:val="left"/>
      <w:pPr>
        <w:tabs>
          <w:tab w:val="num" w:pos="0"/>
        </w:tabs>
        <w:ind w:left="0" w:hanging="283"/>
      </w:pPr>
      <w:rPr>
        <w:rFonts w:ascii="Noto Sans Symbols" w:hAnsi="Noto Sans Symbols" w:cs="Noto Sans Symbols" w:hint="default"/>
      </w:rPr>
    </w:lvl>
    <w:lvl w:ilvl="7">
      <w:start w:val="1"/>
      <w:numFmt w:val="bullet"/>
      <w:lvlText w:val="●"/>
      <w:lvlJc w:val="left"/>
      <w:pPr>
        <w:tabs>
          <w:tab w:val="num" w:pos="0"/>
        </w:tabs>
        <w:ind w:left="0" w:hanging="283"/>
      </w:pPr>
      <w:rPr>
        <w:rFonts w:ascii="Noto Sans Symbols" w:hAnsi="Noto Sans Symbols" w:cs="Noto Sans Symbols" w:hint="default"/>
      </w:rPr>
    </w:lvl>
    <w:lvl w:ilvl="8">
      <w:start w:val="1"/>
      <w:numFmt w:val="bullet"/>
      <w:lvlText w:val="●"/>
      <w:lvlJc w:val="left"/>
      <w:pPr>
        <w:tabs>
          <w:tab w:val="num" w:pos="0"/>
        </w:tabs>
        <w:ind w:left="0" w:hanging="283"/>
      </w:pPr>
      <w:rPr>
        <w:rFonts w:ascii="Noto Sans Symbols" w:hAnsi="Noto Sans Symbols" w:cs="Noto Sans Symbols" w:hint="default"/>
      </w:rPr>
    </w:lvl>
  </w:abstractNum>
  <w:abstractNum w:abstractNumId="4">
    <w:lvl w:ilvl="0">
      <w:start w:val="1"/>
      <w:numFmt w:val="bullet"/>
      <w:lvlText w:val="●"/>
      <w:lvlJc w:val="left"/>
      <w:pPr>
        <w:tabs>
          <w:tab w:val="num" w:pos="0"/>
        </w:tabs>
        <w:ind w:left="0" w:hanging="283"/>
      </w:pPr>
      <w:rPr>
        <w:rFonts w:ascii="Noto Sans Symbols" w:hAnsi="Noto Sans Symbols" w:cs="Noto Sans Symbols" w:hint="default"/>
      </w:rPr>
    </w:lvl>
    <w:lvl w:ilvl="1">
      <w:start w:val="1"/>
      <w:numFmt w:val="bullet"/>
      <w:lvlText w:val="●"/>
      <w:lvlJc w:val="left"/>
      <w:pPr>
        <w:tabs>
          <w:tab w:val="num" w:pos="0"/>
        </w:tabs>
        <w:ind w:left="0" w:hanging="283"/>
      </w:pPr>
      <w:rPr>
        <w:rFonts w:ascii="Noto Sans Symbols" w:hAnsi="Noto Sans Symbols" w:cs="Noto Sans Symbols" w:hint="default"/>
      </w:rPr>
    </w:lvl>
    <w:lvl w:ilvl="2">
      <w:start w:val="1"/>
      <w:numFmt w:val="bullet"/>
      <w:lvlText w:val="●"/>
      <w:lvlJc w:val="left"/>
      <w:pPr>
        <w:tabs>
          <w:tab w:val="num" w:pos="0"/>
        </w:tabs>
        <w:ind w:left="0" w:hanging="283"/>
      </w:pPr>
      <w:rPr>
        <w:rFonts w:ascii="Noto Sans Symbols" w:hAnsi="Noto Sans Symbols" w:cs="Noto Sans Symbols" w:hint="default"/>
      </w:rPr>
    </w:lvl>
    <w:lvl w:ilvl="3">
      <w:start w:val="1"/>
      <w:numFmt w:val="bullet"/>
      <w:lvlText w:val="●"/>
      <w:lvlJc w:val="left"/>
      <w:pPr>
        <w:tabs>
          <w:tab w:val="num" w:pos="0"/>
        </w:tabs>
        <w:ind w:left="0" w:hanging="283"/>
      </w:pPr>
      <w:rPr>
        <w:rFonts w:ascii="Noto Sans Symbols" w:hAnsi="Noto Sans Symbols" w:cs="Noto Sans Symbols" w:hint="default"/>
      </w:rPr>
    </w:lvl>
    <w:lvl w:ilvl="4">
      <w:start w:val="1"/>
      <w:numFmt w:val="bullet"/>
      <w:lvlText w:val="●"/>
      <w:lvlJc w:val="left"/>
      <w:pPr>
        <w:tabs>
          <w:tab w:val="num" w:pos="0"/>
        </w:tabs>
        <w:ind w:left="0" w:hanging="283"/>
      </w:pPr>
      <w:rPr>
        <w:rFonts w:ascii="Noto Sans Symbols" w:hAnsi="Noto Sans Symbols" w:cs="Noto Sans Symbols" w:hint="default"/>
      </w:rPr>
    </w:lvl>
    <w:lvl w:ilvl="5">
      <w:start w:val="1"/>
      <w:numFmt w:val="bullet"/>
      <w:lvlText w:val="●"/>
      <w:lvlJc w:val="left"/>
      <w:pPr>
        <w:tabs>
          <w:tab w:val="num" w:pos="0"/>
        </w:tabs>
        <w:ind w:left="0" w:hanging="283"/>
      </w:pPr>
      <w:rPr>
        <w:rFonts w:ascii="Noto Sans Symbols" w:hAnsi="Noto Sans Symbols" w:cs="Noto Sans Symbols" w:hint="default"/>
      </w:rPr>
    </w:lvl>
    <w:lvl w:ilvl="6">
      <w:start w:val="1"/>
      <w:numFmt w:val="bullet"/>
      <w:lvlText w:val="●"/>
      <w:lvlJc w:val="left"/>
      <w:pPr>
        <w:tabs>
          <w:tab w:val="num" w:pos="0"/>
        </w:tabs>
        <w:ind w:left="0" w:hanging="283"/>
      </w:pPr>
      <w:rPr>
        <w:rFonts w:ascii="Noto Sans Symbols" w:hAnsi="Noto Sans Symbols" w:cs="Noto Sans Symbols" w:hint="default"/>
      </w:rPr>
    </w:lvl>
    <w:lvl w:ilvl="7">
      <w:start w:val="1"/>
      <w:numFmt w:val="bullet"/>
      <w:lvlText w:val="●"/>
      <w:lvlJc w:val="left"/>
      <w:pPr>
        <w:tabs>
          <w:tab w:val="num" w:pos="0"/>
        </w:tabs>
        <w:ind w:left="0" w:hanging="283"/>
      </w:pPr>
      <w:rPr>
        <w:rFonts w:ascii="Noto Sans Symbols" w:hAnsi="Noto Sans Symbols" w:cs="Noto Sans Symbols" w:hint="default"/>
      </w:rPr>
    </w:lvl>
    <w:lvl w:ilvl="8">
      <w:start w:val="1"/>
      <w:numFmt w:val="bullet"/>
      <w:lvlText w:val="●"/>
      <w:lvlJc w:val="left"/>
      <w:pPr>
        <w:tabs>
          <w:tab w:val="num" w:pos="0"/>
        </w:tabs>
        <w:ind w:left="0" w:hanging="283"/>
      </w:pPr>
      <w:rPr>
        <w:rFonts w:ascii="Noto Sans Symbols" w:hAnsi="Noto Sans Symbols" w:cs="Noto Sans Symbols" w:hint="default"/>
      </w:rPr>
    </w:lvl>
  </w:abstractNum>
  <w:abstractNum w:abstractNumId="5">
    <w:lvl w:ilvl="0">
      <w:start w:val="1"/>
      <w:numFmt w:val="bullet"/>
      <w:lvlText w:val="●"/>
      <w:lvlJc w:val="left"/>
      <w:pPr>
        <w:tabs>
          <w:tab w:val="num" w:pos="0"/>
        </w:tabs>
        <w:ind w:left="0" w:hanging="283"/>
      </w:pPr>
      <w:rPr>
        <w:rFonts w:ascii="Noto Sans Symbols" w:hAnsi="Noto Sans Symbols" w:cs="Noto Sans Symbols" w:hint="default"/>
      </w:rPr>
    </w:lvl>
    <w:lvl w:ilvl="1">
      <w:start w:val="1"/>
      <w:numFmt w:val="bullet"/>
      <w:lvlText w:val="●"/>
      <w:lvlJc w:val="left"/>
      <w:pPr>
        <w:tabs>
          <w:tab w:val="num" w:pos="0"/>
        </w:tabs>
        <w:ind w:left="0" w:hanging="283"/>
      </w:pPr>
      <w:rPr>
        <w:rFonts w:ascii="Noto Sans Symbols" w:hAnsi="Noto Sans Symbols" w:cs="Noto Sans Symbols" w:hint="default"/>
      </w:rPr>
    </w:lvl>
    <w:lvl w:ilvl="2">
      <w:start w:val="1"/>
      <w:numFmt w:val="bullet"/>
      <w:lvlText w:val="●"/>
      <w:lvlJc w:val="left"/>
      <w:pPr>
        <w:tabs>
          <w:tab w:val="num" w:pos="0"/>
        </w:tabs>
        <w:ind w:left="0" w:hanging="283"/>
      </w:pPr>
      <w:rPr>
        <w:rFonts w:ascii="Noto Sans Symbols" w:hAnsi="Noto Sans Symbols" w:cs="Noto Sans Symbols" w:hint="default"/>
      </w:rPr>
    </w:lvl>
    <w:lvl w:ilvl="3">
      <w:start w:val="1"/>
      <w:numFmt w:val="bullet"/>
      <w:lvlText w:val="●"/>
      <w:lvlJc w:val="left"/>
      <w:pPr>
        <w:tabs>
          <w:tab w:val="num" w:pos="0"/>
        </w:tabs>
        <w:ind w:left="0" w:hanging="283"/>
      </w:pPr>
      <w:rPr>
        <w:rFonts w:ascii="Noto Sans Symbols" w:hAnsi="Noto Sans Symbols" w:cs="Noto Sans Symbols" w:hint="default"/>
      </w:rPr>
    </w:lvl>
    <w:lvl w:ilvl="4">
      <w:start w:val="1"/>
      <w:numFmt w:val="bullet"/>
      <w:lvlText w:val="●"/>
      <w:lvlJc w:val="left"/>
      <w:pPr>
        <w:tabs>
          <w:tab w:val="num" w:pos="0"/>
        </w:tabs>
        <w:ind w:left="0" w:hanging="283"/>
      </w:pPr>
      <w:rPr>
        <w:rFonts w:ascii="Noto Sans Symbols" w:hAnsi="Noto Sans Symbols" w:cs="Noto Sans Symbols" w:hint="default"/>
      </w:rPr>
    </w:lvl>
    <w:lvl w:ilvl="5">
      <w:start w:val="1"/>
      <w:numFmt w:val="bullet"/>
      <w:lvlText w:val="●"/>
      <w:lvlJc w:val="left"/>
      <w:pPr>
        <w:tabs>
          <w:tab w:val="num" w:pos="0"/>
        </w:tabs>
        <w:ind w:left="0" w:hanging="283"/>
      </w:pPr>
      <w:rPr>
        <w:rFonts w:ascii="Noto Sans Symbols" w:hAnsi="Noto Sans Symbols" w:cs="Noto Sans Symbols" w:hint="default"/>
      </w:rPr>
    </w:lvl>
    <w:lvl w:ilvl="6">
      <w:start w:val="1"/>
      <w:numFmt w:val="bullet"/>
      <w:lvlText w:val="●"/>
      <w:lvlJc w:val="left"/>
      <w:pPr>
        <w:tabs>
          <w:tab w:val="num" w:pos="0"/>
        </w:tabs>
        <w:ind w:left="0" w:hanging="283"/>
      </w:pPr>
      <w:rPr>
        <w:rFonts w:ascii="Noto Sans Symbols" w:hAnsi="Noto Sans Symbols" w:cs="Noto Sans Symbols" w:hint="default"/>
      </w:rPr>
    </w:lvl>
    <w:lvl w:ilvl="7">
      <w:start w:val="1"/>
      <w:numFmt w:val="bullet"/>
      <w:lvlText w:val="●"/>
      <w:lvlJc w:val="left"/>
      <w:pPr>
        <w:tabs>
          <w:tab w:val="num" w:pos="0"/>
        </w:tabs>
        <w:ind w:left="0" w:hanging="283"/>
      </w:pPr>
      <w:rPr>
        <w:rFonts w:ascii="Noto Sans Symbols" w:hAnsi="Noto Sans Symbols" w:cs="Noto Sans Symbols" w:hint="default"/>
      </w:rPr>
    </w:lvl>
    <w:lvl w:ilvl="8">
      <w:start w:val="1"/>
      <w:numFmt w:val="bullet"/>
      <w:lvlText w:val="●"/>
      <w:lvlJc w:val="left"/>
      <w:pPr>
        <w:tabs>
          <w:tab w:val="num" w:pos="0"/>
        </w:tabs>
        <w:ind w:left="0" w:hanging="283"/>
      </w:pPr>
      <w:rPr>
        <w:rFonts w:ascii="Noto Sans Symbols" w:hAnsi="Noto Sans Symbols" w:cs="Noto Sans Symbols" w:hint="default"/>
      </w:rPr>
    </w:lvl>
  </w:abstractNum>
  <w:abstractNum w:abstractNumId="6">
    <w:lvl w:ilvl="0">
      <w:start w:val="1"/>
      <w:numFmt w:val="bullet"/>
      <w:lvlText w:val="●"/>
      <w:lvlJc w:val="left"/>
      <w:pPr>
        <w:tabs>
          <w:tab w:val="num" w:pos="0"/>
        </w:tabs>
        <w:ind w:left="0" w:hanging="283"/>
      </w:pPr>
      <w:rPr>
        <w:rFonts w:ascii="Noto Sans Symbols" w:hAnsi="Noto Sans Symbols" w:cs="Noto Sans Symbols" w:hint="default"/>
      </w:rPr>
    </w:lvl>
    <w:lvl w:ilvl="1">
      <w:start w:val="1"/>
      <w:numFmt w:val="bullet"/>
      <w:lvlText w:val="●"/>
      <w:lvlJc w:val="left"/>
      <w:pPr>
        <w:tabs>
          <w:tab w:val="num" w:pos="0"/>
        </w:tabs>
        <w:ind w:left="0" w:hanging="283"/>
      </w:pPr>
      <w:rPr>
        <w:rFonts w:ascii="Noto Sans Symbols" w:hAnsi="Noto Sans Symbols" w:cs="Noto Sans Symbols" w:hint="default"/>
      </w:rPr>
    </w:lvl>
    <w:lvl w:ilvl="2">
      <w:start w:val="1"/>
      <w:numFmt w:val="bullet"/>
      <w:lvlText w:val="●"/>
      <w:lvlJc w:val="left"/>
      <w:pPr>
        <w:tabs>
          <w:tab w:val="num" w:pos="0"/>
        </w:tabs>
        <w:ind w:left="0" w:hanging="283"/>
      </w:pPr>
      <w:rPr>
        <w:rFonts w:ascii="Noto Sans Symbols" w:hAnsi="Noto Sans Symbols" w:cs="Noto Sans Symbols" w:hint="default"/>
      </w:rPr>
    </w:lvl>
    <w:lvl w:ilvl="3">
      <w:start w:val="1"/>
      <w:numFmt w:val="bullet"/>
      <w:lvlText w:val="●"/>
      <w:lvlJc w:val="left"/>
      <w:pPr>
        <w:tabs>
          <w:tab w:val="num" w:pos="0"/>
        </w:tabs>
        <w:ind w:left="0" w:hanging="283"/>
      </w:pPr>
      <w:rPr>
        <w:rFonts w:ascii="Noto Sans Symbols" w:hAnsi="Noto Sans Symbols" w:cs="Noto Sans Symbols" w:hint="default"/>
      </w:rPr>
    </w:lvl>
    <w:lvl w:ilvl="4">
      <w:start w:val="1"/>
      <w:numFmt w:val="bullet"/>
      <w:lvlText w:val="●"/>
      <w:lvlJc w:val="left"/>
      <w:pPr>
        <w:tabs>
          <w:tab w:val="num" w:pos="0"/>
        </w:tabs>
        <w:ind w:left="0" w:hanging="283"/>
      </w:pPr>
      <w:rPr>
        <w:rFonts w:ascii="Noto Sans Symbols" w:hAnsi="Noto Sans Symbols" w:cs="Noto Sans Symbols" w:hint="default"/>
      </w:rPr>
    </w:lvl>
    <w:lvl w:ilvl="5">
      <w:start w:val="1"/>
      <w:numFmt w:val="bullet"/>
      <w:lvlText w:val="●"/>
      <w:lvlJc w:val="left"/>
      <w:pPr>
        <w:tabs>
          <w:tab w:val="num" w:pos="0"/>
        </w:tabs>
        <w:ind w:left="0" w:hanging="283"/>
      </w:pPr>
      <w:rPr>
        <w:rFonts w:ascii="Noto Sans Symbols" w:hAnsi="Noto Sans Symbols" w:cs="Noto Sans Symbols" w:hint="default"/>
      </w:rPr>
    </w:lvl>
    <w:lvl w:ilvl="6">
      <w:start w:val="1"/>
      <w:numFmt w:val="bullet"/>
      <w:lvlText w:val="●"/>
      <w:lvlJc w:val="left"/>
      <w:pPr>
        <w:tabs>
          <w:tab w:val="num" w:pos="0"/>
        </w:tabs>
        <w:ind w:left="0" w:hanging="283"/>
      </w:pPr>
      <w:rPr>
        <w:rFonts w:ascii="Noto Sans Symbols" w:hAnsi="Noto Sans Symbols" w:cs="Noto Sans Symbols" w:hint="default"/>
      </w:rPr>
    </w:lvl>
    <w:lvl w:ilvl="7">
      <w:start w:val="1"/>
      <w:numFmt w:val="bullet"/>
      <w:lvlText w:val="●"/>
      <w:lvlJc w:val="left"/>
      <w:pPr>
        <w:tabs>
          <w:tab w:val="num" w:pos="0"/>
        </w:tabs>
        <w:ind w:left="0" w:hanging="283"/>
      </w:pPr>
      <w:rPr>
        <w:rFonts w:ascii="Noto Sans Symbols" w:hAnsi="Noto Sans Symbols" w:cs="Noto Sans Symbols" w:hint="default"/>
      </w:rPr>
    </w:lvl>
    <w:lvl w:ilvl="8">
      <w:start w:val="1"/>
      <w:numFmt w:val="bullet"/>
      <w:lvlText w:val="●"/>
      <w:lvlJc w:val="left"/>
      <w:pPr>
        <w:tabs>
          <w:tab w:val="num" w:pos="0"/>
        </w:tabs>
        <w:ind w:left="0" w:hanging="283"/>
      </w:pPr>
      <w:rPr>
        <w:rFonts w:ascii="Noto Sans Symbols" w:hAnsi="Noto Sans Symbols" w:cs="Noto Sans Symbols"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widowControl/>
      <w:spacing w:lineRule="auto" w:line="240" w:before="240" w:after="120"/>
    </w:pPr>
    <w:rPr>
      <w:rFonts w:ascii="Liberation Serif" w:hAnsi="Liberation Serif" w:eastAsia="Liberation Serif" w:cs="Liberation Serif"/>
      <w:b/>
      <w:sz w:val="48"/>
      <w:szCs w:val="48"/>
    </w:rPr>
  </w:style>
  <w:style w:type="paragraph" w:styleId="Heading2">
    <w:name w:val="heading 2"/>
    <w:basedOn w:val="normal1"/>
    <w:next w:val="normal1"/>
    <w:qFormat/>
    <w:pPr>
      <w:keepNext w:val="true"/>
      <w:widowControl/>
      <w:spacing w:lineRule="auto" w:line="240" w:before="200" w:after="120"/>
    </w:pPr>
    <w:rPr>
      <w:rFonts w:ascii="Liberation Serif" w:hAnsi="Liberation Serif" w:eastAsia="Liberation Serif" w:cs="Liberation Serif"/>
      <w:b/>
      <w:sz w:val="36"/>
      <w:szCs w:val="36"/>
    </w:rPr>
  </w:style>
  <w:style w:type="paragraph" w:styleId="Heading3">
    <w:name w:val="heading 3"/>
    <w:basedOn w:val="normal1"/>
    <w:next w:val="normal1"/>
    <w:qFormat/>
    <w:pPr>
      <w:keepNext w:val="true"/>
      <w:widowControl/>
      <w:spacing w:lineRule="auto" w:line="240" w:before="140" w:after="120"/>
    </w:pPr>
    <w:rPr>
      <w:rFonts w:ascii="Liberation Serif" w:hAnsi="Liberation Serif" w:eastAsia="Liberation Serif" w:cs="Liberation Serif"/>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qFormat/>
    <w:rPr/>
  </w:style>
  <w:style w:type="character" w:styleId="NumberingSymbols" w:customStyle="1">
    <w:name w:val="Numbering Symbols"/>
    <w:qFormat/>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widowControl/>
      <w:suppressAutoHyphens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widowControl/>
      <w:suppressLineNumbers/>
      <w:suppressAutoHyphens w:val="true"/>
      <w:spacing w:before="120" w:after="120"/>
    </w:pPr>
    <w:rPr>
      <w:rFonts w:cs="Noto Sans Devanagari"/>
      <w:i/>
      <w:iCs/>
      <w:sz w:val="24"/>
      <w:szCs w:val="24"/>
    </w:rPr>
  </w:style>
  <w:style w:type="paragraph" w:styleId="Index" w:customStyle="1">
    <w:name w:val="Index"/>
    <w:basedOn w:val="Normal"/>
    <w:qFormat/>
    <w:pPr>
      <w:widowControl/>
      <w:suppressLineNumbers/>
      <w:suppressAutoHyphens w:val="true"/>
    </w:pPr>
    <w:rPr>
      <w:rFonts w:cs="Noto Sans Devanagari"/>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0t-JjtRGsJo9qvykY2bj3Ueo5Bunt9fw/view?usp=drivesdk"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tyPqMG8PT7hObWBYXOfWouAxsQ==">CgMxLjAyDmguZmozM2k5ajE3YjFiMg5oLmkxamphbnJ0dWJvcTIOaC5iOHlmZjRjMTNyczkyDmgua2l1Ynozb25xOWc4Mg5oLnIzcGpiaWFocHpnODgAciExMFlndFEzLV9FZERWOWJBZmVOWEszTURuWldnSVh3ZlE=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148</TotalTime>
  <Application>LibreOffice/25.2.4.3$Linux_X86_64 LibreOffice_project/520$Build-3</Application>
  <AppVersion>15.0000</AppVersion>
  <Pages>5</Pages>
  <Words>1176</Words>
  <Characters>7515</Characters>
  <CharactersWithSpaces>8608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2025-07-01T00:30:48Z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