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Health data applied to rare diseases: review of the national plan for rare diseases 3 and prospects for the national plan for rare diseases 4 in 2024. Anne-Sophie LAPOINTE (France)</w:t>
      </w:r>
    </w:p>
    <w:p>
      <w:r>
        <w:t>La sesión proporcionó una visión general de los planes e iniciativas de enfermedades raras en Francia y España. Francia ha tenido tres planes de enfermedades raras, siendo el tercer plan el que se centra en la atención integral a lo largo de toda la vida. Los objetivos del tercer plan eran permitir un diagnóstico rápido, innovar en el tratamiento, mejorar la calidad de vida y autonomía de los pacientes, y estructurar los datos. Francia también tiene pautas de atención para el síndrome de Rett.</w:t>
        <w:br/>
        <w:br/>
        <w:t>España cuenta con dos Redes Europeas de Referencia (ERN, por sus siglas en inglés) para enfermedades raras: ERN EpiCARE y ERN Transplant. Sin embargo, no se proporcionaron detalles específicos sobre el enfoque y los objetivos de estas redes en la sesión.</w:t>
        <w:br/>
        <w:br/>
        <w:t>Los datos del registro nacional francés de enfermedades raras están disponibles en www.bndmr.fr, lo que proporciona un recurso valioso para investigadores y profesionales de la salud.</w:t>
        <w:br/>
        <w:br/>
        <w:t>Se mencionó que se está trabajando en un cuarto plan de enfermedades raras, con un enfoque en acciones para el cribado neonatal, innovaciones y tratamientos. Sin embargo, no se discutieron en detalle las acciones e iniciativas específicas planeadas para este cuarto plan.</w:t>
        <w:br/>
        <w:br/>
        <w:t>En general, la sesión proporcionó una breve visión general de los planes e iniciativas de enfermedades raras en Francia y España, pero hubo áreas que necesitaban aclaración, como los detalles específicos y logros del tercer plan de enfermedades raras en Francia, las pautas de atención específicas para el síndrome de Rett, el enfoque y los objetivos de las Redes Europeas de Referencia (ERN) en España, y las acciones e iniciativas específicas planeadas para el cuarto plan de enfermedades raras.</w:t>
      </w:r>
    </w:p>
    <w:p>
      <w:pPr>
        <w:pStyle w:val="Heading1"/>
      </w:pPr>
      <w:r>
        <w:t>PNDS or Rett center. Nadia BAHI-BUISSON (France)</w:t>
      </w:r>
    </w:p>
    <w:p>
      <w:r>
        <w:t>La sesión proporcionó una visión general del protocolo nacional de diagnóstico del síndrome de Rett (PNDS) y enfatizó el importante papel de los médicos generales en el plan de tratamiento. El protocolo incluye recomendaciones para diversos problemas como la motricidad, trastornos respiratorios, problemas cardíacos, problemas gastrointestinales, desnutrición, osteopenia, escoliosis, problemas ortopédicos y revisiones ginecológicas. Se destacó que los problemas respiratorios, excepto la apnea del sueño, no tienen un tratamiento específico, y los médicos generales deben centrarse en detectar la apnea del sueño y evaluar su impacto nutricional. La sesión también discutió la falta de centros especializados en el síndrome de Rett en Francia, con solo centros de polihandicap disponibles. Las áreas que necesitan aclaración incluyen la mención de un "gráfico de las revisiones (médicas)", la afirmación sobre las curvas de crecimiento específicas del síndrome de Rett y la nota sobre las revisiones ginecológicas y los posibles efectos de los medicamentos en los huesos.</w:t>
      </w:r>
    </w:p>
    <w:p>
      <w:pPr>
        <w:pStyle w:val="Heading1"/>
      </w:pPr>
      <w:r>
        <w:t>Planning for the future. Rett Syndrome Europe (RSE). Rebecca JENNER (Royaume-Uni)</w:t>
      </w:r>
    </w:p>
    <w:p>
      <w:r>
        <w:t>La sesión se centró en los esfuerzos de Rett Syndrome Europe para apoyar a países más pequeños donde las asociaciones para esta condición están emergiendo. Las principales actividades de la organización incluyen brindar apoyo a estas asociaciones emergentes, desarrollar infraestructura y crear una base de datos.</w:t>
        <w:br/>
        <w:br/>
        <w:t>Encontrar familias afectadas por el síndrome de Rett es crucial para fines de investigación y tratamiento. La información recopilada de estas familias es utilizada por compañías farmacéuticas para desarrollar posibles tratamientos. Rett Syndrome Europe está trabajando en estrecha colaboración con la Agencia Europea de Medicamentos (EMA) en este sentido. Se han identificado tres padres interesados que requieren capacitación para negociar eficazmente con la EMA.</w:t>
        <w:br/>
        <w:br/>
        <w:t>Pedro proporcionará más detalles sobre el registro de pacientes, que es un aspecto importante del trabajo de Rett Syndrome Europe. Sin embargo, se necesita más clarificación sobre el apoyo específico brindado a las asociaciones emergentes y la infraestructura que se está desarrollando. Además, sería útil comprender los diálogos y colaboraciones específicas que Rett Syndrome Europe tendrá con la EMA.</w:t>
      </w:r>
    </w:p>
    <w:p>
      <w:pPr>
        <w:pStyle w:val="Heading1"/>
      </w:pPr>
      <w:r>
        <w:t xml:space="preserve">Trofinetide for the Treatment of Rett Syndrome </w:t>
      </w:r>
    </w:p>
    <w:p>
      <w:r>
        <w:t>La sesión proporcionó información importante sobre el medicamento Daybue y su proceso de aprobación para tratar los síntomas del síndrome de Rett. Daybue es el primer y único medicamento aprobado para personas de 2 años en adelante con síndrome de Rett. Acadia adquirió los derechos mundiales de trofinetide, el ingrediente activo en Daybue, y planea buscar la aprobación en el Reino Unido y la Unión Europea.</w:t>
        <w:br/>
        <w:br/>
        <w:t>Los reguladores europeos deben estar involucrados en el proceso de aprobación, y Acadia se compromete a trabajar con organizaciones de pacientes y padres europeos. No se esperan más ensayos clínicos en Europa, pero las reuniones con los reguladores son necesarias para asegurar que los datos actuales sean suficientes para la aprobación por parte de la Agencia Europea de Medicamentos (EMA).</w:t>
        <w:br/>
        <w:br/>
        <w:t>Los ensayos clínicos Levander y LILAC se llevaron a cabo para evaluar la efectividad de Daybue en el tratamiento de los síntomas del síndrome de Rett. Los ensayos utilizaron cuestionarios de comportamiento del síndrome de Rett y evaluaciones realizadas por cuidadores y médicos. Se observó una mejora en los síntomas de las niñas, especialmente en las habilidades de comunicación no verbal. El estudio LILAC no mostró efectos secundarios nuevos y las mejoras continuaron.</w:t>
        <w:br/>
        <w:br/>
        <w:t>Las áreas que necesitan aclaración incluyen los síntomas específicos del síndrome de Rett y cómo Daybue los aborda, el cronograma y los pasos involucrados en la búsqueda de aprobación en el Reino Unido y la Unión Europea, el papel del Factor de Crecimiento Insulin-like (IGF) en el tratamiento del síndrome de Rett y su presencia natural en el cerebro, los resultados y variaciones observadas en los ensayos clínicos Levander y LILAC, los efectos secundarios específicos experimentados por los pacientes y cómo se manejan, y los ingredientes específicos que se eliminan de Daybue y su posible contribución a la diarrea.</w:t>
      </w:r>
    </w:p>
    <w:p>
      <w:pPr>
        <w:pStyle w:val="Heading1"/>
      </w:pPr>
      <w:r>
        <w:t>NEAT1 dysregulation in Rett Syndrome: unveiling pathological mechanisms and therapeutic potential</w:t>
      </w:r>
    </w:p>
    <w:p>
      <w:r>
        <w:t>La sesión se centró en el gen Neat1 y su posible papel en el síndrome de Rett. Neat1 se expresa en gran medida en el desarrollo normal pero se elimina por completo en pacientes con Rett. Restaurar mecp2, una proteína involucrada en la regulación génica, restablece la expresión de Neat1. Se sugirió que mejorar Neat1 podría potencialmente mejorar el fenotipo del síndrome de Rett.</w:t>
        <w:br/>
        <w:br/>
        <w:t>La ausencia de Neat1 tiene efectos negativos en las mitocondrias y las neuronas. Se descubrió que Neat1 mejora la densidad de las espinas de las neuronas y puede actuar como protector de las mitocondrias. Por lo tanto, dirigirse a Neat1 en el tratamiento podría tener efectos positivos en el síndrome de Rett.</w:t>
        <w:br/>
        <w:br/>
        <w:t>Sin embargo, hay áreas que necesitan aclaración. Se necesita una investigación adicional sobre el papel específico de Neat1 en el desarrollo normal y su eliminación en pacientes con Rett. Aún no se comprende el mecanismo por el cual restaurar mecp2 restablece la expresión de Neat1. También no está claro cómo exactamente mejorar Neat1 podría mejorar el fenotipo del síndrome de Rett. Se necesita más investigación para comprender los efectos específicos de Neat1 en las mitocondrias y las neuronas.</w:t>
        <w:br/>
        <w:br/>
        <w:t>En conclusión, la sesión destacó la importancia potencial de Neat1 en el síndrome de Rett y sugirió que dirigirse a Neat1 podría ser un enfoque prometedor para el tratamiento. Sin embargo, se necesita más investigación para comprender completamente el papel de Neat1 y sus posibles implicaciones terapéuticas.</w:t>
      </w:r>
    </w:p>
    <w:p>
      <w:pPr>
        <w:pStyle w:val="Heading1"/>
      </w:pPr>
      <w:r>
        <w:t>Being a parent of an individual with rett syndrome in a lifelong perspective: a qualitative study of the parents experiences.</w:t>
      </w:r>
    </w:p>
    <w:p>
      <w:r>
        <w:t>Este informe resume una sesión con un padre que tiene un doctorado y discute su perspectiva como padre de un niño con Rett. La entrevista se centra en el papel y la experiencia actual del padre, los recuerdos de experiencias anteriores y los pensamientos y expectativas para el futuro. Los temas principales discutidos incluyen el cuidado a lo largo de los años, crear la distancia adecuada entre padre e hijo y el miedo a sobrevivir al hijo. Se menciona que los padres esperan sobrevivir a su hijo con Rett debido a preocupaciones sobre el bienestar del niño si ellos murieran primero. Las responsabilidades de cuidar a un niño con Rett pueden ser abrumadoras para los padres, independientemente de su edad. El informe señala la existencia de una sección de "conclusiones", pero no proporciona detalles específicos. Por último, el informe menciona "historia natural y comorbilidades", pero no se explaya sobre este tema. Se necesita una mayor clarificación sobre los detalles y conclusiones específicas del estudio, así como el significado de "historia natural y comorbilidades".</w:t>
      </w:r>
    </w:p>
    <w:p>
      <w:pPr>
        <w:pStyle w:val="Heading1"/>
      </w:pPr>
      <w:r>
        <w:t>Gene discovery to clinical trials : How clinical and basic research have intersected to develop and test new therapies for Rett syndrome. Jeffrey NEUL (Etats-Unis)</w:t>
      </w:r>
    </w:p>
    <w:p>
      <w:r>
        <w:t>La sesión proporcionó información valiosa sobre el desarrollo de trofinetide y la preparación para los ensayos clínicos en el síndrome de Rett. Sin embargo, hubo varias áreas que necesitaban aclaración, incluyendo la relación específica entre Glypromade y trofinetide, el propósito y los hallazgos del estudio de historia natural, los biomarcadores específicos identificados y su importancia, los detalles de los ensayos clínicos en curso y las razones por las cuales se consideran invasivos los biomarcadores espinales.</w:t>
      </w:r>
    </w:p>
    <w:p>
      <w:pPr>
        <w:pStyle w:val="Heading1"/>
      </w:pPr>
      <w:r>
        <w:t>Epilepsy and Rett. Mathieu MILH (Marseille)</w:t>
      </w:r>
    </w:p>
    <w:p>
      <w:r>
        <w:t>La sesión se centró en la importancia de determinar si los episodios experimentados por las personas con síndrome de Rett son convulsiones epilépticas o no. Recopilar información de los padres sobre cualquier desencadenante o evento previo a los episodios es crucial para hacer esta determinación. Descripciones precisas y grabaciones/videos pueden ser necesarios para confirmar la naturaleza epiléptica de las convulsiones.</w:t>
        <w:br/>
        <w:br/>
        <w:t>Se señaló que los electroencefalogramas (EEG) en personas con síndrome de Rett pueden ser diferentes a los de la población general, lo que dificulta más definir las convulsiones. La epilepsia en el síndrome de Rett puede variar y puede aparecer y desaparecer o cambiar con el tiempo.</w:t>
        <w:br/>
        <w:br/>
        <w:t>El tratamiento de la epilepsia en el síndrome de Rett puede ser difícil, ya que no hay un enfoque único y los errores pueden empeorar la situación. Se han utilizado medicamentos anticonvulsivos clásicos, pero su efectividad no está específicamente confirmada para esta condición. Otras alternativas de tratamiento incluyen la dieta cetogénica y el cannabidiol, pero tienen sus propios riesgos y requieren una supervisión adecuada.</w:t>
        <w:br/>
        <w:br/>
        <w:t>El objetivo del tratamiento es eliminar por completo las convulsiones, no solo reducir su frecuencia. Otras opciones de tratamiento mencionadas fueron el estimulador del nervio vago y la callosotomía.</w:t>
        <w:br/>
        <w:br/>
        <w:t>Se enfatizó la importancia de anticipar la transición a la edad adulta y la posible disminución en la frecuencia de las convulsiones.</w:t>
        <w:br/>
        <w:br/>
        <w:t>Durante la sesión no se mencionaron áreas específicas que necesiten aclaración.</w:t>
      </w:r>
    </w:p>
    <w:p>
      <w:pPr>
        <w:pStyle w:val="Heading1"/>
      </w:pPr>
      <w:r>
        <w:t>Dysautonomia and Erratic Breathing in Rett Syndrome. Jan-Marino RAMIREZ (Etats-Unis)</w:t>
      </w:r>
    </w:p>
    <w:p>
      <w:r>
        <w:t>En la sesión, se discutió que la epilepsia y los problemas respiratorios son comunes en pacientes con síndrome de Rett. Sin embargo, la respuesta al tratamiento varía entre los pacientes, lo que dificulta el análisis estadístico. La variabilidad individual en los pacientes con Rett también complica los ensayos clínicos. La inactivación del cromosoma X se identificó como un factor que contribuye a esta variabilidad, pero no explica por qué los síntomas fluctúan.</w:t>
        <w:br/>
        <w:br/>
        <w:t>La sesión también destacó el papel de los ritmos cerebrales y su coordinación en el funcionamiento del cerebro, la respiración y el corazón. Se encontró que diferentes áreas del cerebro regulan diversos procesos respiratorios como la inhalación, exhalación, respiración profunda, deglución, impulso simpático y vago. Se enfatizó que los microcircuitos en el cerebro controlan estos procesos y definen el comportamiento.</w:t>
        <w:br/>
        <w:br/>
        <w:t>Se mencionó la sustancia P como un factor potencialmente importante para la inhibición de la respiración, aunque se necesita una mayor clarificación sobre su significado. Se señaló que el cerebro a menudo compensa excesivamente los problemas que enfrenta.</w:t>
        <w:br/>
        <w:br/>
        <w:t>Se encontró que los problemas respiratorios están presentes durante el sueño, pero la mayoría de los problemas ocurren durante la vigilia, especialmente las apneas. Sin embargo, las implicaciones clínicas de estos hallazgos aún son desconocidas y requieren una mayor explicación.</w:t>
        <w:br/>
        <w:br/>
        <w:t>Se discutió el trofinetide, un tratamiento potencial, como un mecanismo que puede ayudar a regular estos mecanismos respiratorios actuando sobre la plasticidad homeostática.</w:t>
        <w:br/>
        <w:br/>
        <w:t>En general, la sesión proporcionó información valiosa sobre la relación entre el síndrome de Rett, los problemas respiratorios y la función cerebral. Sin embargo, hay áreas que necesitan aclaración, como la importancia de la sustancia P para la inhibición de la respiración y las implicaciones clínicas de estos hallazgos. Se necesita más investigación para comprender completamente estos aspectos.</w:t>
      </w:r>
    </w:p>
    <w:p>
      <w:pPr>
        <w:pStyle w:val="Heading1"/>
      </w:pPr>
      <w:r>
        <w:t>Disturbances in breathing and sleep: a state of the art. Karen SPRUYT (France)</w:t>
      </w:r>
    </w:p>
    <w:p>
      <w:r>
        <w:t>La sesión proporcionó una visión completa de los patrones de sueño y los problemas en los bebés y niños. Se destacó que el sueño se define por los movimientos oculares, la actividad muscular y la función cardiopulmonar. Los patrones de sueño en los bebés maduran en las primeras semanas de vida, con patrones claros que se forman alrededor de las 15 semanas. Diferentes fases del sueño se desarrollan en los primeros meses, con el sueño de Movimiento Rápido de los Ojos (REM) ocurriendo alrededor de los 7 meses.</w:t>
        <w:br/>
        <w:br/>
        <w:t>Se señaló que normalmente, ocurren de 4 a 6 ciclos de sueño durante la noche, con cada ciclo de REM a REM. En la infancia, hay un período más largo de sueño profundo en el primer ciclo de la noche y un sueño más ligero en los últimos ciclos. Indicadores ambientales como la temperatura, el ejercicio, las interacciones sociales, los estilos de vida, el entorno de sueño y la luz pueden afectar el cambio de sueño-vigilia. El ritmo circadiano, regulado por la melatonina, también afecta el cambio de sueño-vigilia.</w:t>
        <w:br/>
        <w:br/>
        <w:t>La sesión también discutió los problemas comunes de sueño en el síndrome de Rett, incluyendo dificultades para iniciar y mantener el sueño, somnolencia diurna, inquietud nocturna e insomnio terminal. Se sugirió que se necesita tomar medidas adicionales para verificar la sangre (ferritina, transferrina, hierro sérico) de una persona específica llamada Marta.</w:t>
        <w:br/>
        <w:br/>
        <w:t>En general, la sesión proporcionó información valiosa sobre los patrones de sueño y los problemas en los bebés y niños, así como los desafíos específicos que enfrentan las personas con síndrome de Rett.</w:t>
      </w:r>
    </w:p>
    <w:p>
      <w:pPr>
        <w:pStyle w:val="Heading1"/>
      </w:pPr>
      <w:r>
        <w:t>Medical and physical follow-up of adults with Rett syndrome; Experiences from a national Rett center. Anne-Marie BISGAARD (Danemark)</w:t>
      </w:r>
    </w:p>
    <w:p>
      <w:r>
        <w:t>La sesión se centró en el Centro Rett Danés, que brinda servicios tanto para niños como para adultos con el síndrome de Rett. Se destacó que en Dinamarca, el 65% de los pacientes identificados con Rett tienen más de 20 años, lo que indica la necesidad de abordar el tema de la longevidad en relación con el síndrome de Rett.</w:t>
        <w:br/>
        <w:br/>
        <w:t>La sesión enfatizó que los problemas médicos y la función motora pueden empeorar con la edad en los pacientes con Rett. Sin embargo, hubo falta de claridad con respecto a los servicios específicos proporcionados por el Centro Rett Danés tanto para niños como para adultos, así como las implicaciones del alto porcentaje de pacientes con Rett mayores de 20 años en Dinamarca.</w:t>
        <w:br/>
        <w:br/>
        <w:t>Además, la presentación fue descrita como aburrida y repetitiva, lo que sugiere que se podrían hacer mejoras en términos de participación y entrega de contenido. Se recomendó revisar las diapositivas en busca de información omitida, ya que había preocupación de que se hubieran pasado por alto detalles importantes.</w:t>
        <w:br/>
        <w:br/>
        <w:t>Adicionalmente, se señaló que el encargado de tomar notas estaba ocupado con otras tareas durante la presentación, lo que podría haber resultado en la omisión de algunos contenidos. Por lo tanto, se necesita una mayor clarificación con respecto a los problemas médicos específicos que pueden surgir con la edad en los pacientes con Rett, así como el impacto de la disminución de la función motora.</w:t>
        <w:br/>
        <w:br/>
        <w:t>En general, la sesión proporcionó algunas ideas valiosas sobre el Centro Rett Danés y los desafíos que enfrentan los pacientes con Rett a medida que envejecen. Sin embargo, se necesita información más completa y una entrega de presentación mejorada para garantizar una sesión más interesante e informativa.</w:t>
      </w:r>
    </w:p>
    <w:p>
      <w:pPr>
        <w:pStyle w:val="Heading1"/>
      </w:pPr>
      <w:r>
        <w:t>Summary day 1:</w:t>
      </w:r>
    </w:p>
    <w:p>
      <w:r>
        <w:t>Disculpas, pero no puedo generar un resumen sin información específica o notas.</w:t>
      </w:r>
    </w:p>
    <w:p>
      <w:pPr>
        <w:pStyle w:val="Heading1"/>
      </w:pPr>
      <w:r>
        <w:t>Neural precursor cell therapy rescues pathological signs of Rett syndrome. Nicoletta LANDSBERGER (Italie)</w:t>
      </w:r>
    </w:p>
    <w:p>
      <w:r>
        <w:t>En esta sesión, los investigadores discutieron su estudio sobre un modelo de ratón de un defecto cerebral específico. El modelo de ratón, creado por Adrian Bird, incluye tanto ratones machos como hembras. Si bien los ratones machos se utilizan principalmente debido a sus síntomas más robustos, también se utilizan ratones hembras para recrear mejor la situación humana.</w:t>
        <w:br/>
        <w:br/>
        <w:t>Los investigadores realizaron escaneos de Resonancia Magnética (RM) en los modelos animales tres veces a lo largo de su vida. Estos escaneos revelaron que el defecto cerebral está presente antes de que los síntomas sean visibles. Todas las regiones del cerebro se ven afectadas, siendo algunas regiones más afectadas que otras. Sin embargo, la razón exacta de la reducción del volumen cerebral aún se desconoce. Se sabe, sin embargo, que las neuronas se ven afectadas, con soma más pequeños, dendritas reducidas y menos botones sinápticos.</w:t>
        <w:br/>
        <w:br/>
        <w:t>Los investigadores también realizaron experimentos de trasplante de Células Madre Precursoras Neuronales (CMPN) in vitro, que mostraron una recuperación completa de la estructura neuronal y una mejora en las conexiones sinápticas. Se observaron resultados similares en ratones, pero los efectos fueron temporales y requerían inyecciones regulares. A pesar de esto, el trasplante de CMPN aumentó la esperanza de vida de los ratones machos en un 20% y mejoró su actividad física y función cognitiva. Los ratones hembras no mostraron mejoras tan significativas en su condición física, pero sí mostraron una mejora en la función cognitiva.</w:t>
        <w:br/>
        <w:br/>
        <w:t>Actualmente, los investigadores están tratando de identificar moléculas que puedan sustituir la necesidad de inyectar células madre, ya que esto podría proporcionar una opción de tratamiento más económica. Una molécula de interés es el Interferón Gamma (IFNgama), que mostró resultados prometedores cuando se trató in vitro y cuando se inyectó en modelos animales. El tratamiento con IFNgama mejoró tanto las habilidades físicas como cognitivas, aunque no se observaron beneficios en la respiración. No está claro si los resultados serían más robustos con un tratamiento repetido.</w:t>
        <w:br/>
        <w:br/>
        <w:t>El uso de Células Precursoras Neuronales (CPN) en este estudio es complejo y costoso, pero puede proporcionar ideas y conocimientos sobre nuevas moléculas de tratamiento. Sin embargo, todavía hay áreas que necesitan aclaración, como por qué el defecto cerebral está presente antes de que aparezcan los síntomas, la razón exacta de la reducción del volumen cerebral y si los resultados serían más robustos con un tratamiento repetido.</w:t>
      </w:r>
    </w:p>
    <w:p>
      <w:pPr>
        <w:pStyle w:val="Heading1"/>
      </w:pPr>
      <w:r>
        <w:t>Genetic and epigenetic determinants of reactivation of Mecp2 and the inactive X chromosome in neural stem cells. Joost GRIBNEAU (Pays-Bas)</w:t>
      </w:r>
    </w:p>
    <w:p>
      <w:r>
        <w:t>En esta sesión, discutimos varios aspectos de los cromosomas Y y X, así como el proceso de inactivación y reactivación del cromosoma X.</w:t>
        <w:br/>
        <w:br/>
        <w:t>En primer lugar, aprendimos que el cromosoma Y es relativamente pequeño en comparación con el cromosoma X, que ha permanecido relativamente sin cambios a lo largo de la evolución. También discutimos la importancia de la dosis de material genético, ya que una sobredosis puede llevar a trastornos.</w:t>
        <w:br/>
        <w:br/>
        <w:t>A continuación, nos adentramos en el proceso de inactivación del cromosoma X, que ocurre temprano en el desarrollo fetal. La inactivación del cromosoma X comienza con una primera onda en el embrioblasto y sigue una curva gaussiana. Se encontró que los tamaños de los parches de inactivación del cromosoma X en los seres humanos son muy pequeños, como se observó en biopsias de varios órganos. Si bien la sangre se utiliza comúnmente para determinar el sesgo, se descubrió que las muestras bucales son aún mejores.</w:t>
        <w:br/>
        <w:br/>
        <w:t>También aprendimos sobre el centro de inactivación del cromosoma X, un gen no codificante involucrado en el proceso de silenciamiento o inactivación. La reactivación del cromosoma X también afecta a otros genes ubicados en regiones cercanas. Sin embargo, solo una pequeña fracción de las células muestra reactivación y la expresión es relativamente baja. Muchos otros genes ligados al cromosoma X también se reactivan.</w:t>
        <w:br/>
        <w:br/>
        <w:t>Se creó un modelo de ratón para estudiar la reactivación del cromosoma X y las células mortales de este modelo están disponibles para su uso por parte de los científicos. Sin embargo, la traducción de los hallazgos de los ratones a los humanos debe ser examinada más a fondo.</w:t>
        <w:br/>
        <w:br/>
        <w:t>En general, esta sesión proporcionó información valiosa sobre las complejidades de los cromosomas Y y X, la inactivación del cromosoma X y su reactivación. Sin embargo, hay ciertas áreas que requieren aclaración, como los trastornos específicos causados por la sobredosis de material genético, el proceso y la línea de tiempo exactos de la inactivación del cromosoma X en el embrioblasto, la importancia del tamaño del parche en la inactivación del cromosoma X, la correlación entre la sangre y otros órganos para determinar el sesgo, los genes específicos afectados por la reactivación del cromosoma X y el propósito e implicaciones del modelo de ratón creado.</w:t>
      </w:r>
    </w:p>
    <w:p>
      <w:pPr>
        <w:pStyle w:val="Heading1"/>
      </w:pPr>
      <w:r>
        <w:t>Physical therapy. Meir LOTAN (Israël)</w:t>
      </w:r>
    </w:p>
    <w:p>
      <w:r>
        <w:t>Disculpa, pero sin las notas específicas o el contenido de la sesión, no puedo proporcionar un informe resumido. Si puedes proporcionar la información necesaria, estaré encantado de ayudarte más.</w:t>
      </w:r>
    </w:p>
    <w:p>
      <w:pPr>
        <w:pStyle w:val="Heading1"/>
      </w:pPr>
      <w:r>
        <w:t>Motricity. Meir LOTAN (Israël)</w:t>
      </w:r>
    </w:p>
    <w:p>
      <w:r>
        <w:t>No notes available</w:t>
      </w:r>
    </w:p>
    <w:p>
      <w:pPr>
        <w:pStyle w:val="Heading1"/>
      </w:pPr>
      <w:r>
        <w:t>Rett Communication Guidelines. Gillian TOWNEND (Royaume-Uni)</w:t>
      </w:r>
    </w:p>
    <w:p>
      <w:r>
        <w:t>La sesión se centró en la importancia de tener pautas para el síndrome de Rett y el proceso de creación de estas pautas. Las pautas se desarrollaron a través de revisiones sistemáticas de la literatura, encuestas, entrevistas y un panel de expertos. El contenido de las pautas incluye principios orientadores, práctica profesional, características del síndrome de Rett y condiciones coexistentes, estrategias para optimizar la participación, evaluación, evaluación de la comunicación aumentativa y alternativa (CAA), evaluación del sistema/dispositivo de CAA, intervención y manejo a largo plazo.</w:t>
        <w:br/>
        <w:br/>
        <w:t>La sesión enfatizó que la comunicación se ve influenciada por las comorbilidades asociadas con el síndrome de Rett, y los profesionales y los padres deben recibir capacitación para tener un conocimiento adecuado sobre la comunicación y su impacto en las personas con síndrome de Rett. Se destacó que la comunicación directa con la persona con síndrome de Rett es importante, especialmente en entornos médicos.</w:t>
        <w:br/>
        <w:br/>
        <w:t>La sesión también discutió las limitaciones de las evaluaciones estandarizadas para reflejar con precisión las habilidades y potenciales de un individuo. Se sugirió que los períodos de prueba para las herramientas deberían ser de al menos 8 semanas para evaluar adecuadamente su efectividad.</w:t>
        <w:br/>
        <w:br/>
        <w:t>Además, la sesión mencionó el desarrollo de infografías y folletos miniatura para compartir información sobre el síndrome de Rett.</w:t>
        <w:br/>
        <w:br/>
        <w:t>En general, la sesión proporcionó ideas valiosas sobre la importancia de las pautas para el síndrome de Rett y destacó la necesidad de capacitación y comunicación directa con las personas con síndrome de Rett. La sesión también enfatizó las limitaciones de las evaluaciones estandarizadas y la importancia de los períodos de prueba para las herramientas.</w:t>
      </w:r>
    </w:p>
    <w:p>
      <w:pPr>
        <w:pStyle w:val="Heading1"/>
      </w:pPr>
      <w:r>
        <w:t>Speech therapy interventions and Alternative and Augmentative Communication (AAC) in Rett syndrome. Stéphane JULLIEN (Suisse)</w:t>
      </w:r>
    </w:p>
    <w:p>
      <w:r>
        <w:t>La sesión proporcionó una visión general del síndrome de Rett y la importancia de la Comunicación Aumentativa y Alternativa (CAA) como una prioridad de tratamiento. La sesión discutió diversas intervenciones para el síndrome de Rett, incluyendo el Análisis de Conducta Aplicado, la capacitación de padres/personal, el enfoque de interacción naturalista, el modelado de lenguaje asistido, un currículo específico y el aprendizaje accesible de la alfabetización, la terapia musical y la estimulación directa transcraneal. Se destacaron los efectos de la CAA, como tomar decisiones, hacer solicitudes, alfabetización, atención, reducir estereotipos y mejorar comportamientos adaptativos. Sin embargo, se necesita una mayor clarificación sobre las intervenciones específicas aplicadas al síndrome de Rett y los efectos de la CAA en la alfabetización, atención, estereotipos y comportamientos adaptativos. La sesión también discutió los modos de comunicación y los modos de acceso para las personas con síndrome de Rett, enfatizando la importancia de la acción en todos los niveles de intervención. Se exploraron las funciones de comunicación y el papel de los compañeros de comunicación, con énfasis en crear oportunidades, presentar dispositivos de CAA, presumir competencia y co-construir significado. Sin embargo, serían beneficiosos ejemplos o explicaciones más específicas. La parte final de la presentación se mencionó como más interesante e importante, pero no está claro cuál es el contenido de esa parte. En general, la sesión proporcionó información valiosa sobre el síndrome de Rett y la CAA, pero hay áreas que necesitan una mayor clarificación y elaboración.</w:t>
      </w:r>
    </w:p>
    <w:p>
      <w:pPr>
        <w:pStyle w:val="Heading1"/>
      </w:pPr>
      <w:r>
        <w:t>AAC in Rett syndrome. Anne-Laure ZILIOX (France), Maryline POUEYTO (France)</w:t>
      </w:r>
    </w:p>
    <w:p>
      <w:r>
        <w:t>La sesión se centró en la importancia del desarrollo de la alfabetización y los desafíos que enfrentan las personas con dificultades en la lectura y la escritura. Se destacó que las habilidades de alfabetización se desarrollan gradualmente desde el nacimiento y que las dificultades en la alfabetización pueden afectar diversos aspectos de la vida, como el uso de bienes y servicios, el acceso a la información y la participación en actividades sociales y médicas.</w:t>
        <w:br/>
        <w:br/>
        <w:t>Se discutió la Comunicación Aumentativa y Alternativa (CAA) como una herramienta para apoyar a las personas con dificultades en el lenguaje oral. Se identificaron los pictogramas como símbolos utilizados en la CAA, con tres tipos: concretos, transparentes y abstractos. También se destacaron las funcionalidades de las aplicaciones de CAA, como ajustar el tamaño y la posición de los pictogramas y el texto.</w:t>
        <w:br/>
        <w:br/>
        <w:t>Se mencionaron diferentes tipos de teclados en las aplicaciones de CAA, enfatizando la importancia de elegir el adecuado según las habilidades y necesidades del niño. Se sugirieron lápices alternativos para la escritura de baja tecnología, pero se señaló que se requiere práctica.</w:t>
        <w:br/>
        <w:br/>
        <w:t>La sesión enfatizó que si bien algunos estudiantes con discapacidades graves han aprendido a leer de forma independiente, la mayoría necesita ser enseñada. Se consideró importante evaluar la situación actual del individuo y utilizar herramientas apropiadas para la evaluación funcional dinámica.</w:t>
        <w:br/>
        <w:br/>
        <w:t>Se discutieron estrategias de enseñanza para lectores emergentes y convencionales, destacando la lectura compartida y la lectura interactiva como importantes para el desarrollo de la alfabetización. Se enfatizó la importancia de elegir libros adecuados para lectores y escritores emergentes, personalizar textos y utilizar materiales fáciles de leer.</w:t>
        <w:br/>
        <w:br/>
        <w:t>Se identificó como crucial desarrollar la conciencia fonológica a nivel emergente, y se mencionó la utilidad potencial de Kindle para niños, aunque se necesitaba más información.</w:t>
        <w:br/>
        <w:br/>
        <w:t>La sesión también discutió la combinación de pictogramas y palabras escritas, señalando que este enfoque puede resultar en aprender menos palabras escritas en comparación con presentar solo el texto.</w:t>
        <w:br/>
        <w:br/>
        <w:t>Se enfatizó la importancia de la consistencia, la perseverancia y la paciencia en el proceso de aprendizaje. La sesión concluyó destacando la disponibilidad de herramientas de evaluación y métodos de lectura en el sitio web del presentador.</w:t>
        <w:br/>
        <w:br/>
        <w:t>Las áreas que requieren aclaración incluyen obtener más información sobre la utilidad de Kindle para niños y verificar los artículos y libros específicos mencionados en la presentación para obtener más detalles.</w:t>
      </w:r>
    </w:p>
    <w:p>
      <w:pPr>
        <w:pStyle w:val="Heading1"/>
      </w:pPr>
      <w:r>
        <w:t>Advanced technologies for cognitive and motor telerehabilitation in Rett Syndrome: Amelie and Tele-Airett. Martina SEMINO (Italy), Michela PERINA (Italy)</w:t>
      </w:r>
    </w:p>
    <w:p>
      <w:r>
        <w:t>No notes available</w:t>
      </w:r>
    </w:p>
    <w:p>
      <w:pPr>
        <w:pStyle w:val="Heading1"/>
      </w:pPr>
      <w:r>
        <w:t>Nutrition and Rett syndrome. Laure SOULEZ-LARIVIERE (France)</w:t>
      </w:r>
    </w:p>
    <w:p>
      <w:r>
        <w:t>No notes available</w:t>
      </w:r>
    </w:p>
    <w:p>
      <w:pPr>
        <w:pStyle w:val="Heading1"/>
      </w:pPr>
      <w:r>
        <w:t>Orality and Rett syndrome. Laure SOULEZ-LARIVIERE (France)</w:t>
      </w:r>
    </w:p>
    <w:p>
      <w:r>
        <w:t>No notes available</w:t>
      </w:r>
    </w:p>
    <w:p>
      <w:pPr>
        <w:pStyle w:val="Heading1"/>
      </w:pPr>
      <w:r>
        <w:t>Summary:</w:t>
      </w:r>
    </w:p>
    <w:p>
      <w:r>
        <w:t>El segundo día de la conferencia se centró en terapias innovadoras para el síndrome de Rett. Uno de los posibles tratamientos discutidos fue la terapia con células precursoras neurales, que ha mostrado promesa en la recuperación de signos patológicos en el síndrome de Rett. La comprensión de los determinantes genéticos y epigenéticos de la reactivación de la proteína de unión a Methyl-CpG proporcionó información valiosa sobre el síndrome.</w:t>
        <w:br/>
        <w:br/>
        <w:t>La sesión también abordó diversas intervenciones para el síndrome de Rett, incluyendo terapia física, pautas de comunicación y terapia del habla. Se enfatizó la importancia de enfoques personalizados para la alfabetización y la comunicación aumentativa.</w:t>
        <w:br/>
        <w:br/>
        <w:t>Se presentaron tecnologías avanzadas para la telerehabilitación cognitiva y motora, destacando el potencial de opciones de terapia a distancia. Esto es particularmente relevante en el contexto de la pandemia en curso y la necesidad de soluciones virtuales de atención médica.</w:t>
        <w:br/>
        <w:br/>
        <w:t>La nutrición y la oralidad en el síndrome de Rett también fueron destacadas, enfatizando la importancia de un enfoque holístico en el cuidado. La sesión hizo hincapié en la necesidad de considerar todos los aspectos del bienestar del paciente para brindar un apoyo integral.</w:t>
        <w:br/>
        <w:br/>
        <w:t>En general, la sesión proporcionó información valiosa sobre terapias e intervenciones innovadoras para el síndrome de Rett. El evento fue organizado por la Asociación Francesa de Síndrome de Rett, brindando una oportunidad para la interacción cara a cara después de la pandemia.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