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BA50" w14:textId="77777777" w:rsidR="00B76BC2" w:rsidRDefault="00DC04E4">
      <w:pPr>
        <w:spacing w:after="80"/>
        <w:jc w:val="center"/>
      </w:pPr>
      <w:r>
        <w:rPr>
          <w:b/>
          <w:bCs/>
          <w:color w:val="111827"/>
          <w:sz w:val="36"/>
          <w:szCs w:val="36"/>
        </w:rPr>
        <w:t>Especificação Funcional</w:t>
      </w:r>
    </w:p>
    <w:p w14:paraId="0DD34B15" w14:textId="77777777" w:rsidR="00B76BC2" w:rsidRDefault="00DC04E4">
      <w:pPr>
        <w:spacing w:after="80"/>
        <w:jc w:val="center"/>
      </w:pPr>
      <w:r>
        <w:rPr>
          <w:b/>
          <w:bCs/>
          <w:color w:val="374151"/>
          <w:sz w:val="30"/>
          <w:szCs w:val="30"/>
        </w:rPr>
        <w:t>Sistema de Qualificação de Fornecedores</w:t>
      </w:r>
    </w:p>
    <w:p w14:paraId="7DF42B0F" w14:textId="77777777" w:rsidR="00B76BC2" w:rsidRDefault="00DC04E4">
      <w:pPr>
        <w:spacing w:after="400"/>
        <w:jc w:val="center"/>
      </w:pPr>
      <w:r>
        <w:rPr>
          <w:color w:val="6B7280"/>
        </w:rPr>
        <w:t xml:space="preserve">Perpec </w:t>
      </w:r>
      <w:proofErr w:type="spellStart"/>
      <w:r>
        <w:rPr>
          <w:color w:val="6B7280"/>
        </w:rPr>
        <w:t>Oilfield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Supply</w:t>
      </w:r>
      <w:proofErr w:type="spellEnd"/>
      <w:r>
        <w:rPr>
          <w:color w:val="6B7280"/>
        </w:rPr>
        <w:t xml:space="preserve"> — Área SGQ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B76BC2" w14:paraId="6375E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4D4C3" w14:textId="77777777" w:rsidR="00B76BC2" w:rsidRDefault="00DC04E4">
            <w:r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30F7C" w14:textId="77777777" w:rsidR="00B76BC2" w:rsidRDefault="00DC04E4">
            <w:r>
              <w:rPr>
                <w:sz w:val="20"/>
                <w:szCs w:val="20"/>
              </w:rPr>
              <w:t>Especificação Funcional — Sistema de Qualificação de Fornecedores</w:t>
            </w:r>
          </w:p>
        </w:tc>
      </w:tr>
      <w:tr w:rsidR="00B76BC2" w14:paraId="5CF5E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A1C23" w14:textId="77777777" w:rsidR="00B76BC2" w:rsidRDefault="00DC04E4">
            <w:r>
              <w:rPr>
                <w:b/>
                <w:bCs/>
                <w:sz w:val="20"/>
                <w:szCs w:val="20"/>
              </w:rPr>
              <w:t>Referência atual</w:t>
            </w:r>
          </w:p>
        </w:tc>
        <w:tc>
          <w:tcPr>
            <w:tcW w:w="6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64947" w14:textId="77777777" w:rsidR="00B76BC2" w:rsidRDefault="00DC04E4">
            <w:r>
              <w:rPr>
                <w:sz w:val="20"/>
                <w:szCs w:val="20"/>
              </w:rPr>
              <w:t>FP-SGQ-0015 (portal em HTML estático) e FP-SGQ-0022 (relatório de auditoria)</w:t>
            </w:r>
          </w:p>
        </w:tc>
      </w:tr>
      <w:tr w:rsidR="00B76BC2" w14:paraId="091C6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3457A" w14:textId="77777777" w:rsidR="00B76BC2" w:rsidRDefault="00DC04E4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6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D3F26" w14:textId="77777777" w:rsidR="00B76BC2" w:rsidRDefault="00DC04E4">
            <w:r>
              <w:rPr>
                <w:sz w:val="20"/>
                <w:szCs w:val="20"/>
              </w:rPr>
              <w:t>João Victor Amaral dos Santos — Analista de Engenharia PL (QHSE)</w:t>
            </w:r>
          </w:p>
        </w:tc>
      </w:tr>
      <w:tr w:rsidR="00B76BC2" w14:paraId="2A372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2B93" w14:textId="77777777" w:rsidR="00B76BC2" w:rsidRDefault="00DC04E4">
            <w:r>
              <w:rPr>
                <w:b/>
                <w:bCs/>
                <w:sz w:val="20"/>
                <w:szCs w:val="20"/>
              </w:rPr>
              <w:t>Destinatário</w:t>
            </w:r>
          </w:p>
        </w:tc>
        <w:tc>
          <w:tcPr>
            <w:tcW w:w="6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463D9" w14:textId="77777777" w:rsidR="00B76BC2" w:rsidRDefault="00DC04E4">
            <w:r>
              <w:rPr>
                <w:sz w:val="20"/>
                <w:szCs w:val="20"/>
              </w:rPr>
              <w:t>Time de Desenvolvimento (via TI)</w:t>
            </w:r>
          </w:p>
        </w:tc>
      </w:tr>
      <w:tr w:rsidR="00B76BC2" w14:paraId="1BFB1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E3EFF" w14:textId="77777777" w:rsidR="00B76BC2" w:rsidRDefault="00DC04E4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36FF8" w14:textId="77777777" w:rsidR="00B76BC2" w:rsidRDefault="00DC04E4">
            <w:r>
              <w:rPr>
                <w:sz w:val="20"/>
                <w:szCs w:val="20"/>
              </w:rPr>
              <w:t>Consolidar requisitos funcionais e não funcionais para substituição do portal HTML estático atual por uma solução web integrada</w:t>
            </w:r>
          </w:p>
        </w:tc>
      </w:tr>
    </w:tbl>
    <w:p w14:paraId="0B3328DE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1. Contexto e objetivo</w:t>
      </w:r>
    </w:p>
    <w:p w14:paraId="44B38226" w14:textId="77777777" w:rsidR="00B76BC2" w:rsidRDefault="00DC04E4">
      <w:pPr>
        <w:spacing w:after="120"/>
      </w:pPr>
      <w:r>
        <w:t xml:space="preserve">A Perpec </w:t>
      </w:r>
      <w:proofErr w:type="spellStart"/>
      <w:r>
        <w:t>Oilfield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mantém hoje um portal de qualificação de fornecedores composto por três páginas HTML estáticas publicadas via GitHub Pages, com dados de perguntas e escopos em arquivos CSV, integração com Make (</w:t>
      </w:r>
      <w:proofErr w:type="spellStart"/>
      <w:r>
        <w:t>webhook</w:t>
      </w:r>
      <w:proofErr w:type="spellEnd"/>
      <w:r>
        <w:t>) e persistência no Monday.com. O fluxo funciona, mas apresenta limitações que motivam a construção de um sistema dedicado:</w:t>
      </w:r>
    </w:p>
    <w:p w14:paraId="3594B9CE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 xml:space="preserve">Anexo de evidências e geração de PDF exigem etapas manuais (upload no SharePoint, cópia de link, anexo posterior no </w:t>
      </w:r>
      <w:proofErr w:type="spellStart"/>
      <w:r>
        <w:t>Monday</w:t>
      </w:r>
      <w:proofErr w:type="spellEnd"/>
      <w:r>
        <w:t>).</w:t>
      </w:r>
    </w:p>
    <w:p w14:paraId="25A8F10C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Não há mecanismo automatizado de acompanhamento de vencimento e requalificação de fornecedores.</w:t>
      </w:r>
    </w:p>
    <w:p w14:paraId="5D3431B3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Guarda das evidências fica fora de um repositório com controle de acesso granular e trilha de auditoria adequada à LGPD.</w:t>
      </w:r>
    </w:p>
    <w:p w14:paraId="36637FC9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Manutenção do banco de perguntas depende de edição direta em CSV/HTML, sem interface administrativa.</w:t>
      </w:r>
    </w:p>
    <w:p w14:paraId="222A211B" w14:textId="77777777" w:rsidR="00B76BC2" w:rsidRDefault="00DC04E4">
      <w:pPr>
        <w:spacing w:after="120"/>
      </w:pPr>
      <w:r>
        <w:t>Este documento consolida os requisitos para o desenvolvimento de um sistema que substitua o portal atual, preservando a lógica de negócio já validada em produção.</w:t>
      </w:r>
    </w:p>
    <w:p w14:paraId="4544CF8A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2. Visão geral do processo de qualificação</w:t>
      </w:r>
    </w:p>
    <w:p w14:paraId="7BDACCF4" w14:textId="77777777" w:rsidR="00B76BC2" w:rsidRDefault="00DC04E4">
      <w:pPr>
        <w:spacing w:after="120"/>
      </w:pPr>
      <w:r>
        <w:t>O processo tem duas etapas espelhadas que compartilham o mesmo banco de perguntas:</w:t>
      </w:r>
    </w:p>
    <w:p w14:paraId="13F59518" w14:textId="77777777" w:rsidR="00B76BC2" w:rsidRDefault="00DC04E4">
      <w:pPr>
        <w:pStyle w:val="PargrafodaLista"/>
        <w:numPr>
          <w:ilvl w:val="0"/>
          <w:numId w:val="3"/>
        </w:numPr>
        <w:spacing w:after="80"/>
      </w:pPr>
      <w:r>
        <w:t>Autoavaliação: o fornecedor recebe um link único, responde o questionário condicionado ao(s) escopo(s) cadastrado(s), anexa evidências (Cartão CNPJ, Certificado SGQ e demais documentos por pergunta) e envia. A nota gerada nessa etapa é provisória.</w:t>
      </w:r>
    </w:p>
    <w:p w14:paraId="4F657549" w14:textId="77777777" w:rsidR="00B76BC2" w:rsidRDefault="00DC04E4">
      <w:pPr>
        <w:pStyle w:val="PargrafodaLista"/>
        <w:numPr>
          <w:ilvl w:val="0"/>
          <w:numId w:val="3"/>
        </w:numPr>
        <w:spacing w:after="80"/>
      </w:pPr>
      <w:r>
        <w:t>Auditoria SGQ: a equipe Perpec revisa cada resposta com base nas evidências reais, mantém ou altera o status/pontuação atribuído pelo fornecedor, registra parecer técnico item a item e emite classificação final. A nota da auditoria é a que vale.</w:t>
      </w:r>
    </w:p>
    <w:p w14:paraId="02515ADF" w14:textId="77777777" w:rsidR="00B76BC2" w:rsidRDefault="00DC04E4">
      <w:pPr>
        <w:spacing w:after="120"/>
      </w:pPr>
      <w:r>
        <w:t xml:space="preserve">Os relatórios das duas etapas devem ser exportáveis em PDF no padrão visual atual (referência: RQF-006-26 — Autoavaliação e </w:t>
      </w:r>
      <w:r>
        <w:t>Relatório de Auditoria).</w:t>
      </w:r>
    </w:p>
    <w:p w14:paraId="77747C6F" w14:textId="77777777" w:rsidR="00A76055" w:rsidRDefault="00A76055">
      <w:pPr>
        <w:spacing w:after="120"/>
      </w:pPr>
    </w:p>
    <w:p w14:paraId="27DE4F35" w14:textId="77777777" w:rsidR="00A76055" w:rsidRDefault="00A76055">
      <w:pPr>
        <w:spacing w:after="120"/>
      </w:pPr>
    </w:p>
    <w:p w14:paraId="63A572A9" w14:textId="77777777" w:rsidR="00A76055" w:rsidRDefault="00A76055">
      <w:pPr>
        <w:spacing w:after="120"/>
      </w:pPr>
    </w:p>
    <w:p w14:paraId="15506C57" w14:textId="77777777" w:rsidR="00A76055" w:rsidRDefault="00A76055">
      <w:pPr>
        <w:spacing w:after="120"/>
      </w:pPr>
    </w:p>
    <w:p w14:paraId="0617DF54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lastRenderedPageBreak/>
        <w:t>3. Perfis de usuário e permissões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600"/>
      </w:tblGrid>
      <w:tr w:rsidR="00B76BC2" w14:paraId="05D57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F437A" w14:textId="77777777" w:rsidR="00B76BC2" w:rsidRDefault="00DC04E4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855C" w14:textId="77777777" w:rsidR="00B76BC2" w:rsidRDefault="00DC04E4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51A79" w14:textId="77777777" w:rsidR="00B76BC2" w:rsidRDefault="00DC04E4">
            <w:r>
              <w:rPr>
                <w:b/>
                <w:bCs/>
                <w:color w:val="FFFFFF"/>
                <w:sz w:val="20"/>
                <w:szCs w:val="20"/>
              </w:rPr>
              <w:t>Principais ações</w:t>
            </w:r>
          </w:p>
        </w:tc>
      </w:tr>
      <w:tr w:rsidR="00B76BC2" w14:paraId="27376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4A096" w14:textId="77777777" w:rsidR="00B76BC2" w:rsidRDefault="00DC04E4">
            <w:r>
              <w:rPr>
                <w:b/>
                <w:bCs/>
                <w:sz w:val="20"/>
                <w:szCs w:val="20"/>
              </w:rPr>
              <w:t>Administrador SGQ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18A36" w14:textId="77777777" w:rsidR="00B76BC2" w:rsidRDefault="00DC04E4">
            <w:r>
              <w:rPr>
                <w:sz w:val="20"/>
                <w:szCs w:val="20"/>
              </w:rPr>
              <w:t>Gestor do sistema pela Perpec.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00CCA" w14:textId="77777777" w:rsidR="00B76BC2" w:rsidRDefault="00DC04E4">
            <w:r>
              <w:rPr>
                <w:sz w:val="20"/>
                <w:szCs w:val="20"/>
              </w:rPr>
              <w:t>Cadastrar/editar escopos e perguntas; definir pesos e faixas; gerenciar usuários; auditar logs.</w:t>
            </w:r>
          </w:p>
        </w:tc>
      </w:tr>
      <w:tr w:rsidR="00B76BC2" w14:paraId="4CF0A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16479" w14:textId="77777777" w:rsidR="00B76BC2" w:rsidRDefault="00DC04E4">
            <w:r>
              <w:rPr>
                <w:b/>
                <w:bCs/>
                <w:sz w:val="20"/>
                <w:szCs w:val="20"/>
              </w:rPr>
              <w:t>Auditor SGQ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822D8" w14:textId="77777777" w:rsidR="00B76BC2" w:rsidRDefault="00DC04E4">
            <w:r>
              <w:rPr>
                <w:sz w:val="20"/>
                <w:szCs w:val="20"/>
              </w:rPr>
              <w:t>Analista da Perpec que conduz a auditoria.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D6461" w14:textId="42AF12C9" w:rsidR="00B76BC2" w:rsidRDefault="00DC04E4">
            <w:r>
              <w:rPr>
                <w:sz w:val="20"/>
                <w:szCs w:val="20"/>
              </w:rPr>
              <w:t>Gerar link do fornecedor; auditar respostas; laudar evidências; emitir parecer; qualificar/desqualificar; definir próxima requalificação.</w:t>
            </w:r>
            <w:r w:rsidR="00994F8A">
              <w:rPr>
                <w:sz w:val="20"/>
                <w:szCs w:val="20"/>
              </w:rPr>
              <w:t xml:space="preserve"> O auditor SGQ pode ser o mesmo ADM SGQ.</w:t>
            </w:r>
          </w:p>
        </w:tc>
      </w:tr>
      <w:tr w:rsidR="00B76BC2" w14:paraId="2F523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630ED" w14:textId="44FDAEBA" w:rsidR="00B76BC2" w:rsidRDefault="00DC04E4">
            <w:r>
              <w:rPr>
                <w:b/>
                <w:bCs/>
                <w:sz w:val="20"/>
                <w:szCs w:val="20"/>
              </w:rPr>
              <w:t>Suprimentos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FC2D9" w14:textId="6991FB08" w:rsidR="00B76BC2" w:rsidRDefault="00DC04E4">
            <w:r>
              <w:rPr>
                <w:sz w:val="20"/>
                <w:szCs w:val="20"/>
              </w:rPr>
              <w:t>Área</w:t>
            </w:r>
            <w:r>
              <w:rPr>
                <w:sz w:val="20"/>
                <w:szCs w:val="20"/>
              </w:rPr>
              <w:t xml:space="preserve"> interna</w:t>
            </w:r>
            <w:r>
              <w:rPr>
                <w:sz w:val="20"/>
                <w:szCs w:val="20"/>
              </w:rPr>
              <w:t xml:space="preserve"> consumidora</w:t>
            </w:r>
            <w:r>
              <w:rPr>
                <w:sz w:val="20"/>
                <w:szCs w:val="20"/>
              </w:rPr>
              <w:t xml:space="preserve"> da qualificação.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D501" w14:textId="77777777" w:rsidR="00B76BC2" w:rsidRDefault="00DC04E4">
            <w:r>
              <w:rPr>
                <w:sz w:val="20"/>
                <w:szCs w:val="20"/>
              </w:rPr>
              <w:t>Consultar status de fornecedores; visualizar relatórios; receber notificações de vencimento.</w:t>
            </w:r>
          </w:p>
        </w:tc>
      </w:tr>
      <w:tr w:rsidR="00B76BC2" w14:paraId="46121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16348" w14:textId="77777777" w:rsidR="00B76BC2" w:rsidRDefault="00DC04E4">
            <w:r>
              <w:rPr>
                <w:b/>
                <w:bCs/>
                <w:sz w:val="20"/>
                <w:szCs w:val="20"/>
              </w:rPr>
              <w:t>Fornecedor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A7D06" w14:textId="1A309754" w:rsidR="00B76BC2" w:rsidRDefault="00DC04E4">
            <w:r>
              <w:rPr>
                <w:sz w:val="20"/>
                <w:szCs w:val="20"/>
              </w:rPr>
              <w:t xml:space="preserve">Usuário externo (acesso via link único, </w:t>
            </w:r>
            <w:r w:rsidR="00994F8A">
              <w:rPr>
                <w:sz w:val="20"/>
                <w:szCs w:val="20"/>
              </w:rPr>
              <w:t>com ou sem cadastro</w:t>
            </w:r>
            <w:r>
              <w:rPr>
                <w:sz w:val="20"/>
                <w:szCs w:val="20"/>
              </w:rPr>
              <w:t>).</w:t>
            </w:r>
          </w:p>
        </w:tc>
        <w:tc>
          <w:tcPr>
            <w:tcW w:w="36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B2E0A" w14:textId="77777777" w:rsidR="00B76BC2" w:rsidRDefault="00DC04E4">
            <w:r>
              <w:rPr>
                <w:sz w:val="20"/>
                <w:szCs w:val="20"/>
              </w:rPr>
              <w:t>Preencher autoavaliação; anexar evidências; visualizar/baixar seu relatório de autoavaliação; atender solicitações de retificação.</w:t>
            </w:r>
          </w:p>
        </w:tc>
      </w:tr>
    </w:tbl>
    <w:p w14:paraId="3FBCF18D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4. Cadastros base</w:t>
      </w:r>
    </w:p>
    <w:p w14:paraId="4E8B740E" w14:textId="77777777" w:rsidR="00B76BC2" w:rsidRDefault="00DC04E4">
      <w:pPr>
        <w:pStyle w:val="Ttulo2"/>
        <w:spacing w:before="240" w:after="120"/>
      </w:pPr>
      <w:r>
        <w:rPr>
          <w:b/>
          <w:bCs/>
          <w:color w:val="111827"/>
        </w:rPr>
        <w:t>4.1 Escopos</w:t>
      </w:r>
    </w:p>
    <w:p w14:paraId="56F02203" w14:textId="77777777" w:rsidR="00B76BC2" w:rsidRDefault="00DC04E4">
      <w:pPr>
        <w:spacing w:after="120"/>
      </w:pPr>
      <w:r>
        <w:t>Cada escopo representa uma categoria de fornecimento (ex.: EPI, Elastômeros/Vedações, Brocas, Serviços de Calibração). Campos:</w:t>
      </w:r>
    </w:p>
    <w:p w14:paraId="5555C0A1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Nome do escopo.</w:t>
      </w:r>
    </w:p>
    <w:p w14:paraId="55CBBDC6" w14:textId="552A3B9E" w:rsidR="00B76BC2" w:rsidRDefault="00DC04E4">
      <w:pPr>
        <w:pStyle w:val="PargrafodaLista"/>
        <w:numPr>
          <w:ilvl w:val="0"/>
          <w:numId w:val="2"/>
        </w:numPr>
        <w:spacing w:after="80"/>
      </w:pPr>
      <w:r>
        <w:t xml:space="preserve">Tipo: produto ou serviço. </w:t>
      </w:r>
    </w:p>
    <w:p w14:paraId="043C343E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Blocos de perguntas vinculados (relação N:N com o cadastro de blocos/seções).</w:t>
      </w:r>
    </w:p>
    <w:p w14:paraId="14ACE3CD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Status: ativo/inativo (não deletar escopos com histórico — apenas desativar).</w:t>
      </w:r>
    </w:p>
    <w:p w14:paraId="47ABE891" w14:textId="77777777" w:rsidR="00B76BC2" w:rsidRDefault="00DC04E4">
      <w:pPr>
        <w:pStyle w:val="Ttulo2"/>
        <w:spacing w:before="240" w:after="120"/>
      </w:pPr>
      <w:r>
        <w:rPr>
          <w:b/>
          <w:bCs/>
          <w:color w:val="111827"/>
        </w:rPr>
        <w:t>4.2 Blocos/seções e perguntas</w:t>
      </w:r>
    </w:p>
    <w:p w14:paraId="2905EC40" w14:textId="77777777" w:rsidR="00B76BC2" w:rsidRDefault="00DC04E4">
      <w:pPr>
        <w:spacing w:after="120"/>
      </w:pPr>
      <w:r>
        <w:t>As perguntas são organizadas em blocos. Existe um bloco geral fixo, aplicável a todos os fornecedores (equivalente à seção 1 — "Gestão da Qualidade / Organização do Fornecedor"), e blocos específicos por escopo, que só aparecem quando o escopo correspondente está selecionado no cadastro do fornecedor.</w:t>
      </w:r>
    </w:p>
    <w:p w14:paraId="63452A77" w14:textId="77777777" w:rsidR="00B76BC2" w:rsidRDefault="00DC04E4">
      <w:pPr>
        <w:spacing w:after="120"/>
      </w:pPr>
      <w:r>
        <w:t>Campos de cada pergunta:</w:t>
      </w:r>
    </w:p>
    <w:p w14:paraId="6F7B018D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Código (ex.: 1.1, 7.3) — sequencial dentro do bloco.</w:t>
      </w:r>
    </w:p>
    <w:p w14:paraId="5CF774C2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Bloco/categoria/grupo (equivalentes às colunas do CSV atual).</w:t>
      </w:r>
    </w:p>
    <w:p w14:paraId="1C471E1B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Texto da pergunta.</w:t>
      </w:r>
    </w:p>
    <w:p w14:paraId="6F5AAD4D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 xml:space="preserve">Categoria de nota: SGQ (bloco geral) </w:t>
      </w:r>
      <w:proofErr w:type="gramStart"/>
      <w:r>
        <w:t>ou Técnica</w:t>
      </w:r>
      <w:proofErr w:type="gramEnd"/>
      <w:r>
        <w:t xml:space="preserve"> (blocos de escopo).</w:t>
      </w:r>
    </w:p>
    <w:p w14:paraId="04B7455C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Documentos esperados como evidência (texto de apoio ao fornecedor).</w:t>
      </w:r>
    </w:p>
    <w:p w14:paraId="05EC7A92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Status: ativa/inativa.</w:t>
      </w:r>
    </w:p>
    <w:p w14:paraId="4C887C69" w14:textId="44D748E0" w:rsidR="00A76055" w:rsidRPr="00A76055" w:rsidRDefault="00DC04E4" w:rsidP="00A76055">
      <w:pPr>
        <w:spacing w:after="120"/>
      </w:pPr>
      <w:r>
        <w:rPr>
          <w:i/>
          <w:iCs/>
        </w:rPr>
        <w:t>Interface administrativa: o Administrador SGQ deve conseguir criar, editar, desativar e reordenar perguntas sem intervenção do time de TI (substitui a edição atual em perguntas.csv)</w:t>
      </w:r>
    </w:p>
    <w:p w14:paraId="16D21653" w14:textId="77777777" w:rsidR="00A76055" w:rsidRDefault="00A76055">
      <w:pPr>
        <w:rPr>
          <w:b/>
          <w:bCs/>
          <w:color w:val="111827"/>
          <w:sz w:val="26"/>
          <w:szCs w:val="26"/>
        </w:rPr>
      </w:pPr>
      <w:r>
        <w:rPr>
          <w:b/>
          <w:bCs/>
          <w:color w:val="111827"/>
        </w:rPr>
        <w:br w:type="page"/>
      </w:r>
    </w:p>
    <w:p w14:paraId="751C0F04" w14:textId="14AF26BA" w:rsidR="00A76055" w:rsidRPr="00A76055" w:rsidRDefault="00DC04E4">
      <w:pPr>
        <w:pStyle w:val="Ttulo2"/>
        <w:spacing w:before="240" w:after="120"/>
        <w:rPr>
          <w:b/>
          <w:bCs/>
          <w:color w:val="111827"/>
        </w:rPr>
      </w:pPr>
      <w:r>
        <w:rPr>
          <w:b/>
          <w:bCs/>
          <w:color w:val="111827"/>
        </w:rPr>
        <w:lastRenderedPageBreak/>
        <w:t>4</w:t>
      </w:r>
      <w:r>
        <w:rPr>
          <w:b/>
          <w:bCs/>
          <w:color w:val="111827"/>
        </w:rPr>
        <w:t>.3 Fornecedores</w:t>
      </w:r>
    </w:p>
    <w:p w14:paraId="2C50DCC8" w14:textId="2AC36CD3" w:rsidR="00B76BC2" w:rsidRDefault="00DC04E4">
      <w:pPr>
        <w:spacing w:after="120"/>
      </w:pPr>
      <w:r>
        <w:t>Cadastro base do fornecedor com os campos que hoje aparecem no cabeçalho do relatório</w:t>
      </w:r>
      <w:r w:rsidR="00994F8A">
        <w:t xml:space="preserve">, </w:t>
      </w:r>
      <w:proofErr w:type="spellStart"/>
      <w:r w:rsidR="00994F8A">
        <w:t>infos</w:t>
      </w:r>
      <w:proofErr w:type="spellEnd"/>
      <w:r w:rsidR="00994F8A">
        <w:t xml:space="preserve"> cadastrais devem vir automáticas puxadas do </w:t>
      </w:r>
      <w:proofErr w:type="spellStart"/>
      <w:r w:rsidR="00994F8A">
        <w:t>Cotabox</w:t>
      </w:r>
      <w:proofErr w:type="spellEnd"/>
      <w:r>
        <w:t>:</w:t>
      </w:r>
    </w:p>
    <w:p w14:paraId="3532A445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Razão social, nome fantasia, CNPJ.</w:t>
      </w:r>
    </w:p>
    <w:p w14:paraId="72D4CD12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Endereço completo.</w:t>
      </w:r>
    </w:p>
    <w:p w14:paraId="68CC1BDB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Responsável (nome e cargo), e-mail e telefone de contato.</w:t>
      </w:r>
    </w:p>
    <w:p w14:paraId="7955852F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Certificação SGQ (Sim/Não) — quando "Sim", exige upload do certificado válido.</w:t>
      </w:r>
    </w:p>
    <w:p w14:paraId="60E35A1A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Escopo(s) de fornecimento — múltipla seleção a partir do cadastro de escopos.</w:t>
      </w:r>
    </w:p>
    <w:p w14:paraId="0D04855E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Status atual de qualificação (calculado): Válido / Vencido / Aprovado com Ressalvas / Não Aprovado / Em Processo / Requalificação Pendente.</w:t>
      </w:r>
    </w:p>
    <w:p w14:paraId="017D2C89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5. Fluxo funcional detalhado</w:t>
      </w:r>
    </w:p>
    <w:p w14:paraId="3A223EE3" w14:textId="77777777" w:rsidR="00B76BC2" w:rsidRDefault="00DC04E4">
      <w:pPr>
        <w:pStyle w:val="Ttulo2"/>
        <w:spacing w:before="240" w:after="120"/>
      </w:pPr>
      <w:r>
        <w:rPr>
          <w:b/>
          <w:bCs/>
          <w:color w:val="111827"/>
        </w:rPr>
        <w:t>5.1 Geração do link do fornecedor</w:t>
      </w:r>
    </w:p>
    <w:p w14:paraId="4ED3705E" w14:textId="39981AAD" w:rsidR="00B76BC2" w:rsidRDefault="00DC04E4">
      <w:pPr>
        <w:spacing w:after="120"/>
      </w:pPr>
      <w:r>
        <w:t xml:space="preserve">O </w:t>
      </w:r>
      <w:r w:rsidR="00994F8A">
        <w:t>Comprador</w:t>
      </w:r>
      <w:r>
        <w:t xml:space="preserve"> inicia um novo processo de qualificação (RQF) informando:</w:t>
      </w:r>
    </w:p>
    <w:p w14:paraId="208AACA7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Fornecedor (do cadastro existente) ou criação de novo cadastro.</w:t>
      </w:r>
    </w:p>
    <w:p w14:paraId="030E48BB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Escopo(s) que serão avaliados naquele ciclo.</w:t>
      </w:r>
    </w:p>
    <w:p w14:paraId="5608DB0A" w14:textId="77777777" w:rsidR="00B76BC2" w:rsidRDefault="00DC04E4">
      <w:pPr>
        <w:spacing w:after="120"/>
      </w:pPr>
      <w:r>
        <w:t xml:space="preserve">O sistema gera um código de rastreabilidade único no formato RQF-NNN-AA (ex.: RQF-006-26) e um link exclusivo de acesso ao formulário. O link deve ser </w:t>
      </w:r>
      <w:proofErr w:type="spellStart"/>
      <w:r>
        <w:t>enviável</w:t>
      </w:r>
      <w:proofErr w:type="spellEnd"/>
      <w:r>
        <w:t xml:space="preserve"> por e-mail direto pelo sistema, sem exigir cópia manual.</w:t>
      </w:r>
    </w:p>
    <w:p w14:paraId="2CC7F5D0" w14:textId="77777777" w:rsidR="00B76BC2" w:rsidRDefault="00DC04E4">
      <w:pPr>
        <w:pStyle w:val="Ttulo2"/>
        <w:spacing w:before="240" w:after="120"/>
      </w:pPr>
      <w:r>
        <w:rPr>
          <w:b/>
          <w:bCs/>
          <w:color w:val="111827"/>
        </w:rPr>
        <w:t>5.2 Preenchimento da autoavaliação (fornecedor)</w:t>
      </w:r>
    </w:p>
    <w:p w14:paraId="0E2DFB9D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Ao abrir o link, o fornecedor vê apenas o bloco geral + os blocos dos escopos definidos pelo auditor.</w:t>
      </w:r>
    </w:p>
    <w:p w14:paraId="151A81B7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Para cada pergunta, o fornecedor: (a) escolhe um status (Conforme / Regular / Não Conforme / Não Aplicável); (b) insere um comentário; (c) anexa uma ou mais evidências (PDF, DOCX, XLSX, imagens).</w:t>
      </w:r>
    </w:p>
    <w:p w14:paraId="34EF0E7E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Anexos obrigatórios adicionais: Cartão CNPJ; Certificado SGQ (quando aplicável).</w:t>
      </w:r>
    </w:p>
    <w:p w14:paraId="520BB66A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Regra de negócio: </w:t>
      </w:r>
      <w:r>
        <w:t>uma resposta marcada como "Conforme" sem evidência anexada deve ser sinalizada como nota provisória, sujeita a conferência do SGQ na auditoria — o sistema deve exibir alerta visual e registrar essa marcação no PDF, como já ocorre no rodapé do relatório atual.</w:t>
      </w:r>
    </w:p>
    <w:p w14:paraId="2661D4A7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O fornecedor deve poder salvar rascunho e retomar o preenchimento posteriormente pelo mesmo link, dentro de um prazo definido (ex.: 15 dias).</w:t>
      </w:r>
    </w:p>
    <w:p w14:paraId="1227E3D6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Ao enviar, o sistema gera automaticamente o PDF da autoavaliação (padrão do relatório atual) e disponibiliza download ao fornecedor.</w:t>
      </w:r>
    </w:p>
    <w:p w14:paraId="1F5C4211" w14:textId="77777777" w:rsidR="00B76BC2" w:rsidRDefault="00DC04E4">
      <w:pPr>
        <w:pStyle w:val="Ttulo2"/>
        <w:spacing w:before="240" w:after="120"/>
      </w:pPr>
      <w:r>
        <w:rPr>
          <w:b/>
          <w:bCs/>
          <w:color w:val="111827"/>
        </w:rPr>
        <w:t>5.3 Auditoria (SGQ)</w:t>
      </w:r>
    </w:p>
    <w:p w14:paraId="315F37EE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O Auditor SGQ acessa o painel interno, seleciona o RQF e visualiza lado a lado: pergunta, resposta autodeclarada, comentário e evidências anexadas.</w:t>
      </w:r>
    </w:p>
    <w:p w14:paraId="2CF17051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Para cada pergunta, o auditor pode: manter ou alterar o status; ajustar a pontuação; escrever parecer técnico próprio (texto livre).</w:t>
      </w:r>
    </w:p>
    <w:p w14:paraId="456E9882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O auditor pode marcar evidências específicas como: Conforme, Regular, Não Conforme, Não Aplicável — ou solicitar retificação, com prazo definido para o fornecedor reenviar.</w:t>
      </w:r>
    </w:p>
    <w:p w14:paraId="3EDD9F33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Ao concluir, o auditor emite parecer final consolidado (texto livre) e define: classificação final; decisão (Qualificar / Desqualificar / Qualificar com Ressalvas); data da próxima requalificação.</w:t>
      </w:r>
    </w:p>
    <w:p w14:paraId="5731378D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Assinatura eletrônica do auditor deve ser aplicada ao PDF final (imagem de assinatura + nome + cargo, como no padrão atual).</w:t>
      </w:r>
    </w:p>
    <w:p w14:paraId="162CF5C4" w14:textId="77777777" w:rsidR="00B76BC2" w:rsidRDefault="00DC04E4">
      <w:pPr>
        <w:pStyle w:val="Ttulo2"/>
        <w:spacing w:before="240" w:after="120"/>
      </w:pPr>
      <w:r>
        <w:rPr>
          <w:b/>
          <w:bCs/>
          <w:color w:val="111827"/>
        </w:rPr>
        <w:lastRenderedPageBreak/>
        <w:t>5.4 Solicitação de retificação</w:t>
      </w:r>
    </w:p>
    <w:p w14:paraId="55DD1600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Quando o auditor solicita retificação de documento(s), o sistema deve notificar o fornecedor por e-mail com a lista dos itens pendentes e prazo.</w:t>
      </w:r>
    </w:p>
    <w:p w14:paraId="1DA1E7E0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O fornecedor acessa o mesmo link, vê apenas as perguntas pendentes de retificação e reenvia. O histórico anterior deve ser preservado (versionamento das evidências).</w:t>
      </w:r>
    </w:p>
    <w:p w14:paraId="67494919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6. Regras de cálculo e classificação</w:t>
      </w:r>
    </w:p>
    <w:p w14:paraId="0186444A" w14:textId="77777777" w:rsidR="00B76BC2" w:rsidRDefault="00DC04E4">
      <w:pPr>
        <w:spacing w:after="120"/>
      </w:pPr>
      <w:r>
        <w:t>A lógica atual deve ser replicada e mantida configurável via tela administrativa (equivalente aos objetos CONFIG, SCORING e FAIXAS do sistema atual, sem exigir edição de código).</w:t>
      </w:r>
    </w:p>
    <w:p w14:paraId="16F67632" w14:textId="77777777" w:rsidR="00B76BC2" w:rsidRDefault="00DC04E4">
      <w:pPr>
        <w:pStyle w:val="Ttulo3"/>
        <w:spacing w:before="200" w:after="100"/>
      </w:pPr>
      <w:r>
        <w:rPr>
          <w:b/>
          <w:bCs/>
          <w:color w:val="111827"/>
          <w:sz w:val="23"/>
          <w:szCs w:val="23"/>
        </w:rPr>
        <w:t>6.1 Pontuação por status</w:t>
      </w:r>
    </w:p>
    <w:p w14:paraId="08210F32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Conforme = 100</w:t>
      </w:r>
    </w:p>
    <w:p w14:paraId="7750A486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Regular = 75</w:t>
      </w:r>
    </w:p>
    <w:p w14:paraId="6BC4A971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Não Conforme = 0</w:t>
      </w:r>
    </w:p>
    <w:p w14:paraId="72A546EA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Não Aplicável</w:t>
      </w:r>
      <w:r>
        <w:t xml:space="preserve"> — não entra no cálculo (denominador reduzido).</w:t>
      </w:r>
    </w:p>
    <w:p w14:paraId="499E6A61" w14:textId="77777777" w:rsidR="00B76BC2" w:rsidRDefault="00DC04E4">
      <w:pPr>
        <w:pStyle w:val="Ttulo3"/>
        <w:spacing w:before="200" w:after="100"/>
      </w:pPr>
      <w:r>
        <w:rPr>
          <w:b/>
          <w:bCs/>
          <w:color w:val="111827"/>
          <w:sz w:val="23"/>
          <w:szCs w:val="23"/>
        </w:rPr>
        <w:t>6.2 Notas parciais e nota final</w:t>
      </w:r>
    </w:p>
    <w:p w14:paraId="5D63F051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Nota SGQ = média simples das perguntas respondidas do bloco geral.</w:t>
      </w:r>
    </w:p>
    <w:p w14:paraId="5E072E89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Nota Técnica = média simples das perguntas respondidas dos blocos de escopo.</w:t>
      </w:r>
    </w:p>
    <w:p w14:paraId="5491392D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 xml:space="preserve">Nota Final = (Nota SGQ × </w:t>
      </w:r>
      <w:proofErr w:type="spellStart"/>
      <w:r>
        <w:t>peso_SGQ</w:t>
      </w:r>
      <w:proofErr w:type="spellEnd"/>
      <w:r>
        <w:t xml:space="preserve">) + (Nota Técnica × </w:t>
      </w:r>
      <w:proofErr w:type="spellStart"/>
      <w:r>
        <w:t>peso</w:t>
      </w:r>
      <w:proofErr w:type="gramStart"/>
      <w:r>
        <w:t>_Técnica</w:t>
      </w:r>
      <w:proofErr w:type="spellEnd"/>
      <w:proofErr w:type="gramEnd"/>
      <w:r>
        <w:t>). Pesos padrão: 0,5 e 0,5 (configuráveis, soma obrigatória = 1,0).</w:t>
      </w:r>
    </w:p>
    <w:p w14:paraId="624B5367" w14:textId="77777777" w:rsidR="00B76BC2" w:rsidRDefault="00DC04E4">
      <w:pPr>
        <w:pStyle w:val="Ttulo3"/>
        <w:spacing w:before="200" w:after="100"/>
      </w:pPr>
      <w:r>
        <w:rPr>
          <w:b/>
          <w:bCs/>
          <w:color w:val="111827"/>
          <w:sz w:val="23"/>
          <w:szCs w:val="23"/>
        </w:rPr>
        <w:t>6.3 Exceção — piso de certificação SGQ</w:t>
      </w:r>
    </w:p>
    <w:p w14:paraId="7ECB915F" w14:textId="0A5604C5" w:rsidR="00B76BC2" w:rsidRDefault="00DC04E4">
      <w:pPr>
        <w:spacing w:after="120"/>
      </w:pPr>
      <w:r>
        <w:t xml:space="preserve">Se a certificação SGQ do fornecedor é confirmada como válida com evidência auditada, a Nota </w:t>
      </w:r>
      <w:r w:rsidR="00994F8A">
        <w:t>SGQ</w:t>
      </w:r>
      <w:r>
        <w:t xml:space="preserve"> tem piso mínimo de </w:t>
      </w:r>
      <w:r w:rsidR="00994F8A">
        <w:t>10</w:t>
      </w:r>
      <w:r>
        <w:t>0 pontos (aprovação garantida), mesmo que o cálculo normal resulte em menos. Este valor é configurável.</w:t>
      </w:r>
    </w:p>
    <w:p w14:paraId="6294EC7C" w14:textId="77777777" w:rsidR="00B76BC2" w:rsidRDefault="00DC04E4">
      <w:pPr>
        <w:pStyle w:val="Ttulo3"/>
        <w:spacing w:before="200" w:after="100"/>
      </w:pPr>
      <w:r>
        <w:rPr>
          <w:b/>
          <w:bCs/>
          <w:color w:val="111827"/>
          <w:sz w:val="23"/>
          <w:szCs w:val="23"/>
        </w:rPr>
        <w:t>6.4 Faixas de classificação final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3000"/>
      </w:tblGrid>
      <w:tr w:rsidR="00B76BC2" w14:paraId="358EDE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13E5F" w14:textId="77777777" w:rsidR="00B76BC2" w:rsidRDefault="00DC04E4">
            <w:r>
              <w:rPr>
                <w:b/>
                <w:bCs/>
                <w:color w:val="FFFFFF"/>
                <w:sz w:val="20"/>
                <w:szCs w:val="20"/>
              </w:rPr>
              <w:t>Nota final</w:t>
            </w:r>
          </w:p>
        </w:tc>
        <w:tc>
          <w:tcPr>
            <w:tcW w:w="42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27684" w14:textId="77777777" w:rsidR="00B76BC2" w:rsidRDefault="00DC04E4"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95BAD" w14:textId="77777777" w:rsidR="00B76BC2" w:rsidRDefault="00DC04E4">
            <w:r>
              <w:rPr>
                <w:b/>
                <w:bCs/>
                <w:color w:val="FFFFFF"/>
                <w:sz w:val="20"/>
                <w:szCs w:val="20"/>
              </w:rPr>
              <w:t>Cor de referência</w:t>
            </w:r>
          </w:p>
        </w:tc>
      </w:tr>
      <w:tr w:rsidR="00B76BC2" w14:paraId="01F05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462F6" w14:textId="77777777" w:rsidR="00B76BC2" w:rsidRDefault="00DC04E4">
            <w:r>
              <w:rPr>
                <w:b/>
                <w:bCs/>
                <w:sz w:val="20"/>
                <w:szCs w:val="20"/>
              </w:rPr>
              <w:t>0 – 59,9</w:t>
            </w:r>
          </w:p>
        </w:tc>
        <w:tc>
          <w:tcPr>
            <w:tcW w:w="42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550D5" w14:textId="77777777" w:rsidR="00B76BC2" w:rsidRDefault="00DC04E4">
            <w:r>
              <w:rPr>
                <w:sz w:val="20"/>
                <w:szCs w:val="20"/>
              </w:rPr>
              <w:t>Não Aprovado</w:t>
            </w:r>
          </w:p>
        </w:tc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AD092" w14:textId="77777777" w:rsidR="00B76BC2" w:rsidRDefault="00DC04E4">
            <w:r>
              <w:rPr>
                <w:sz w:val="20"/>
                <w:szCs w:val="20"/>
              </w:rPr>
              <w:t>Vermelho</w:t>
            </w:r>
          </w:p>
        </w:tc>
      </w:tr>
      <w:tr w:rsidR="00B76BC2" w14:paraId="42B99D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AA89E" w14:textId="77777777" w:rsidR="00B76BC2" w:rsidRDefault="00DC04E4">
            <w:r>
              <w:rPr>
                <w:b/>
                <w:bCs/>
                <w:sz w:val="20"/>
                <w:szCs w:val="20"/>
              </w:rPr>
              <w:t>60 – 79,9</w:t>
            </w:r>
          </w:p>
        </w:tc>
        <w:tc>
          <w:tcPr>
            <w:tcW w:w="42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B91F" w14:textId="77777777" w:rsidR="00B76BC2" w:rsidRDefault="00DC04E4">
            <w:r>
              <w:rPr>
                <w:sz w:val="20"/>
                <w:szCs w:val="20"/>
              </w:rPr>
              <w:t>Aprovado com Ressalvas</w:t>
            </w:r>
          </w:p>
        </w:tc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1D79E" w14:textId="77777777" w:rsidR="00B76BC2" w:rsidRDefault="00DC04E4">
            <w:r>
              <w:rPr>
                <w:sz w:val="20"/>
                <w:szCs w:val="20"/>
              </w:rPr>
              <w:t>Amarelo/Âmbar</w:t>
            </w:r>
          </w:p>
        </w:tc>
      </w:tr>
      <w:tr w:rsidR="00B76BC2" w14:paraId="6136A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83776" w14:textId="77777777" w:rsidR="00B76BC2" w:rsidRDefault="00DC04E4">
            <w:r>
              <w:rPr>
                <w:b/>
                <w:bCs/>
                <w:sz w:val="20"/>
                <w:szCs w:val="20"/>
              </w:rPr>
              <w:t>80 – 100</w:t>
            </w:r>
          </w:p>
        </w:tc>
        <w:tc>
          <w:tcPr>
            <w:tcW w:w="42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49039" w14:textId="77777777" w:rsidR="00B76BC2" w:rsidRDefault="00DC04E4"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D92D3" w14:textId="77777777" w:rsidR="00B76BC2" w:rsidRDefault="00DC04E4">
            <w:r>
              <w:rPr>
                <w:sz w:val="20"/>
                <w:szCs w:val="20"/>
              </w:rPr>
              <w:t>Verde</w:t>
            </w:r>
          </w:p>
        </w:tc>
      </w:tr>
    </w:tbl>
    <w:p w14:paraId="09408800" w14:textId="77777777" w:rsidR="00B76BC2" w:rsidRDefault="00DC04E4">
      <w:pPr>
        <w:spacing w:after="120"/>
      </w:pPr>
      <w:r>
        <w:rPr>
          <w:i/>
          <w:iCs/>
        </w:rPr>
        <w:t>As faixas devem ser configuráveis via tela administrativa.</w:t>
      </w:r>
    </w:p>
    <w:p w14:paraId="0BAE2718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7. Requalificação e notificações automáticas</w:t>
      </w:r>
    </w:p>
    <w:p w14:paraId="331E74F3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Ao concluir a auditoria, a data da próxima requalificação é registrada junto ao fornecedor (equivalente à linha "Fornecedor QUALIFICADO com próxima qualificação prevista para DD/MM/AAAA" do relatório atual).</w:t>
      </w:r>
    </w:p>
    <w:p w14:paraId="32794EB8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O sistema deve calcular e atualizar automaticamente o status do fornecedor (Válido, Próximo do Vencimento, Vencido, Requalificação Pendente) com base nessa data.</w:t>
      </w:r>
    </w:p>
    <w:p w14:paraId="72CDA469" w14:textId="69E9EAF7" w:rsidR="00B76BC2" w:rsidRDefault="00DC04E4">
      <w:pPr>
        <w:pStyle w:val="PargrafodaLista"/>
        <w:numPr>
          <w:ilvl w:val="0"/>
          <w:numId w:val="2"/>
        </w:numPr>
        <w:spacing w:after="80"/>
      </w:pPr>
      <w:r>
        <w:t>Alertas automáticos por e-mail para o Auditor SGQ</w:t>
      </w:r>
      <w:r w:rsidR="00994F8A">
        <w:t>, para o comprador</w:t>
      </w:r>
      <w:r>
        <w:t>, com antecedência configurável (sugestão inicial: 90, 60 e 30 dias antes do vencimento; e no dia do vencimento).</w:t>
      </w:r>
    </w:p>
    <w:p w14:paraId="5629397E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Painel/lista de fornecedores segmentada por status, com filtros por escopo, data de vencimento e classificação. Ordenação padrão: proximidade do vencimento (mais próximos primeiro).</w:t>
      </w:r>
    </w:p>
    <w:p w14:paraId="068F7F9A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lastRenderedPageBreak/>
        <w:t>Exportação da lista em CSV/Excel para relatórios gerenciais.</w:t>
      </w:r>
    </w:p>
    <w:p w14:paraId="4A1EEED7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8. Exportação de relatórios em PDF</w:t>
      </w:r>
    </w:p>
    <w:p w14:paraId="1FBD9B47" w14:textId="4DE7E9AF" w:rsidR="00B76BC2" w:rsidRDefault="00DC04E4">
      <w:pPr>
        <w:spacing w:after="120"/>
      </w:pPr>
      <w:r>
        <w:t xml:space="preserve">Os </w:t>
      </w:r>
      <w:proofErr w:type="spellStart"/>
      <w:r>
        <w:t>PDFs</w:t>
      </w:r>
      <w:proofErr w:type="spellEnd"/>
      <w:r>
        <w:t xml:space="preserve"> de Autoavaliação e de Auditoria devem seguir o padrão visual atual</w:t>
      </w:r>
      <w:r>
        <w:t>, contendo:</w:t>
      </w:r>
    </w:p>
    <w:p w14:paraId="47FABF38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Cabeçalho com logotipo Perpec, título do relatório e código de rastreabilidade (RQF-NNN-AA) com data/hora.</w:t>
      </w:r>
    </w:p>
    <w:p w14:paraId="7986ABAB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Bloco de identificação (fornecedor, CNPJ, auditor, escopos auditados, link da pasta de evidências, certificação SGQ).</w:t>
      </w:r>
    </w:p>
    <w:p w14:paraId="3E74C7A4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Blocos com tabela de perguntas (Código, Pergunta, Status, Pontuação, Comentário/Parecer).</w:t>
      </w:r>
    </w:p>
    <w:p w14:paraId="211BB69F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Painel de resultado (Nota SGQ, Nota Técnica, Nota Final e Classificação Final).</w:t>
      </w:r>
    </w:p>
    <w:p w14:paraId="3F39B5A6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Parecer final consolidado (auditoria) com assinatura eletrônica do auditor (nome, cargo, imagem).</w:t>
      </w:r>
    </w:p>
    <w:p w14:paraId="23FA6A83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 xml:space="preserve">Rodapé com identificação do documento (FP-SGQ-XXXX </w:t>
      </w:r>
      <w:proofErr w:type="spellStart"/>
      <w:r>
        <w:t>RevForm.NN</w:t>
      </w:r>
      <w:proofErr w:type="spellEnd"/>
      <w:r>
        <w:t>) e numeração de páginas.</w:t>
      </w:r>
    </w:p>
    <w:p w14:paraId="7AF4BA32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9. Requisitos não funcionais</w:t>
      </w:r>
    </w:p>
    <w:p w14:paraId="2D3C6AC2" w14:textId="52013D87" w:rsidR="00590B7A" w:rsidRDefault="00DC04E4" w:rsidP="00590B7A">
      <w:pPr>
        <w:pStyle w:val="Ttulo2"/>
        <w:spacing w:before="240" w:after="120"/>
      </w:pPr>
      <w:r>
        <w:rPr>
          <w:b/>
          <w:bCs/>
          <w:color w:val="111827"/>
        </w:rPr>
        <w:t>9.1 Segurança e conformidade com a LGPD</w:t>
      </w:r>
    </w:p>
    <w:p w14:paraId="682772DF" w14:textId="77777777" w:rsidR="00590B7A" w:rsidRDefault="00590B7A" w:rsidP="00590B7A">
      <w:pPr>
        <w:spacing w:after="80"/>
      </w:pPr>
      <w:r>
        <w:t>O sistema deve estar em conformidade com a LGPD (Lei nº 13.709/2018) no tratamento dos dados dos fornecedores.</w:t>
      </w:r>
    </w:p>
    <w:p w14:paraId="4C6EBA2A" w14:textId="77777777" w:rsidR="00590B7A" w:rsidRDefault="00590B7A" w:rsidP="00590B7A">
      <w:pPr>
        <w:spacing w:after="80"/>
      </w:pPr>
      <w:r>
        <w:t>As evidências anexadas pelos fornecedores podem conter informações sensíveis e/ou de propriedade intelectual e devem ser armazenadas de forma segura, com acesso restrito apenas aos usuários autorizados (Auditor SGQ e Administrador SGQ).</w:t>
      </w:r>
    </w:p>
    <w:p w14:paraId="39DE55BE" w14:textId="4EE8BF57" w:rsidR="00590B7A" w:rsidRDefault="00590B7A" w:rsidP="00590B7A">
      <w:pPr>
        <w:spacing w:after="80"/>
      </w:pPr>
      <w:r>
        <w:t>O link de acesso do fornecedor deve dar visibilidade apenas ao próprio RQF, sem exposição de dados de outros fornecedores.</w:t>
      </w:r>
    </w:p>
    <w:p w14:paraId="7A6C3BF8" w14:textId="77777777" w:rsidR="00B76BC2" w:rsidRDefault="00DC04E4">
      <w:pPr>
        <w:pStyle w:val="Ttulo2"/>
        <w:spacing w:before="240" w:after="120"/>
      </w:pPr>
      <w:r>
        <w:rPr>
          <w:b/>
          <w:bCs/>
          <w:color w:val="111827"/>
        </w:rPr>
        <w:t>9</w:t>
      </w:r>
      <w:r>
        <w:rPr>
          <w:b/>
          <w:bCs/>
          <w:color w:val="111827"/>
        </w:rPr>
        <w:t>.2 Integração</w:t>
      </w:r>
    </w:p>
    <w:p w14:paraId="7B449CB3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 xml:space="preserve">Envio de e-mails transacionais (link do fornecedor, alertas de vencimento, solicitações de retificação) com </w:t>
      </w:r>
      <w:proofErr w:type="spellStart"/>
      <w:r>
        <w:t>template</w:t>
      </w:r>
      <w:proofErr w:type="spellEnd"/>
      <w:r>
        <w:t xml:space="preserve"> padronizado.</w:t>
      </w:r>
    </w:p>
    <w:p w14:paraId="123C7412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API interna para consulta do status de qualificação por CNPJ (útil para o ERP e Suprimentos).</w:t>
      </w:r>
    </w:p>
    <w:p w14:paraId="343D7F87" w14:textId="77777777" w:rsidR="00B76BC2" w:rsidRDefault="00DC04E4">
      <w:pPr>
        <w:pStyle w:val="Ttulo2"/>
        <w:spacing w:before="240" w:after="120"/>
      </w:pPr>
      <w:r>
        <w:rPr>
          <w:b/>
          <w:bCs/>
          <w:color w:val="111827"/>
        </w:rPr>
        <w:t>9.3 Usabilidade e identidade visual</w:t>
      </w:r>
    </w:p>
    <w:p w14:paraId="36521F3B" w14:textId="0BABC9B3" w:rsidR="00B76BC2" w:rsidRDefault="00DC04E4">
      <w:pPr>
        <w:pStyle w:val="PargrafodaLista"/>
        <w:numPr>
          <w:ilvl w:val="0"/>
          <w:numId w:val="2"/>
        </w:numPr>
        <w:spacing w:after="80"/>
      </w:pPr>
      <w:r>
        <w:t xml:space="preserve">Identidade visual Perpec (paleta e logotipo do sistema atual) mantida em </w:t>
      </w:r>
      <w:proofErr w:type="spellStart"/>
      <w:r>
        <w:t>PDFs</w:t>
      </w:r>
      <w:proofErr w:type="spellEnd"/>
      <w:r>
        <w:t>.</w:t>
      </w:r>
    </w:p>
    <w:p w14:paraId="0784F553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Formulário do fornecedor deve funcionar bem em desktop e mobile (tablets/celulares).</w:t>
      </w:r>
    </w:p>
    <w:p w14:paraId="12C4314B" w14:textId="77777777" w:rsidR="00B76BC2" w:rsidRDefault="00DC04E4">
      <w:pPr>
        <w:pStyle w:val="PargrafodaLista"/>
        <w:numPr>
          <w:ilvl w:val="0"/>
          <w:numId w:val="2"/>
        </w:numPr>
        <w:spacing w:after="80"/>
      </w:pPr>
      <w:r>
        <w:t>Painel do auditor: idealmente com visualização lado a lado (pergunta + evidências) para acelerar a auditoria.</w:t>
      </w:r>
    </w:p>
    <w:p w14:paraId="0BA3D04F" w14:textId="77777777" w:rsidR="00B76BC2" w:rsidRDefault="00DC04E4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10. Migração e transição</w:t>
      </w:r>
    </w:p>
    <w:p w14:paraId="37C098DB" w14:textId="7B5E0134" w:rsidR="00B76BC2" w:rsidRDefault="00DC04E4" w:rsidP="00A76055">
      <w:pPr>
        <w:pStyle w:val="PargrafodaLista"/>
        <w:numPr>
          <w:ilvl w:val="0"/>
          <w:numId w:val="2"/>
        </w:numPr>
        <w:spacing w:after="80"/>
      </w:pPr>
      <w:r>
        <w:t xml:space="preserve">Cadastro inicial de escopos e perguntas: </w:t>
      </w:r>
      <w:r w:rsidR="00590B7A">
        <w:t xml:space="preserve">deve ser possível importar em massa através de planilha </w:t>
      </w:r>
      <w:proofErr w:type="spellStart"/>
      <w:r w:rsidR="00590B7A">
        <w:t>excel</w:t>
      </w:r>
      <w:proofErr w:type="spellEnd"/>
      <w:r w:rsidR="00590B7A">
        <w:t xml:space="preserve"> ou </w:t>
      </w:r>
      <w:proofErr w:type="spellStart"/>
      <w:r w:rsidR="00590B7A">
        <w:t>csv</w:t>
      </w:r>
      <w:proofErr w:type="spellEnd"/>
      <w:r w:rsidR="00590B7A">
        <w:t>.</w:t>
      </w:r>
    </w:p>
    <w:sectPr w:rsidR="00B76BC2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01608" w14:textId="77777777" w:rsidR="00DC04E4" w:rsidRDefault="00DC04E4">
      <w:r>
        <w:separator/>
      </w:r>
    </w:p>
  </w:endnote>
  <w:endnote w:type="continuationSeparator" w:id="0">
    <w:p w14:paraId="02271F7A" w14:textId="77777777" w:rsidR="00DC04E4" w:rsidRDefault="00DC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4F72" w14:textId="77777777" w:rsidR="00B76BC2" w:rsidRDefault="00DC04E4"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94F8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994F8A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1C90" w14:textId="77777777" w:rsidR="00DC04E4" w:rsidRDefault="00DC04E4">
      <w:r>
        <w:separator/>
      </w:r>
    </w:p>
  </w:footnote>
  <w:footnote w:type="continuationSeparator" w:id="0">
    <w:p w14:paraId="231F333C" w14:textId="77777777" w:rsidR="00DC04E4" w:rsidRDefault="00DC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AF7B7" w14:textId="77777777" w:rsidR="00A76055" w:rsidRDefault="00A76055" w:rsidP="00A76055">
    <w:pPr>
      <w:jc w:val="center"/>
      <w:rPr>
        <w:color w:val="6B7280"/>
        <w:sz w:val="18"/>
        <w:szCs w:val="18"/>
      </w:rPr>
    </w:pPr>
    <w:r>
      <w:rPr>
        <w:noProof/>
        <w:color w:val="6B7280"/>
        <w:sz w:val="18"/>
        <w:szCs w:val="18"/>
      </w:rPr>
      <w:drawing>
        <wp:inline distT="0" distB="0" distL="0" distR="0" wp14:anchorId="71FB9E62" wp14:editId="283317DA">
          <wp:extent cx="1122680" cy="300786"/>
          <wp:effectExtent l="0" t="0" r="1270" b="4445"/>
          <wp:docPr id="19718849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1884990" name="Imagem 1971884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5101" cy="312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3B9BCB" w14:textId="20D703D6" w:rsidR="00B76BC2" w:rsidRDefault="00DC04E4" w:rsidP="00A76055">
    <w:pPr>
      <w:jc w:val="center"/>
    </w:pPr>
    <w:r>
      <w:rPr>
        <w:color w:val="6B7280"/>
        <w:sz w:val="18"/>
        <w:szCs w:val="18"/>
      </w:rPr>
      <w:t xml:space="preserve">Perpec </w:t>
    </w:r>
    <w:proofErr w:type="spellStart"/>
    <w:r>
      <w:rPr>
        <w:color w:val="6B7280"/>
        <w:sz w:val="18"/>
        <w:szCs w:val="18"/>
      </w:rPr>
      <w:t>Oilfield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Supply</w:t>
    </w:r>
    <w:proofErr w:type="spellEnd"/>
    <w:r>
      <w:rPr>
        <w:color w:val="6B7280"/>
        <w:sz w:val="18"/>
        <w:szCs w:val="18"/>
      </w:rPr>
      <w:t xml:space="preserve"> — SGQ · Especificação Funcional · Qualificação de Fornecedores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758E7"/>
    <w:multiLevelType w:val="hybridMultilevel"/>
    <w:tmpl w:val="D53272A6"/>
    <w:lvl w:ilvl="0" w:tplc="E2765234">
      <w:start w:val="1"/>
      <w:numFmt w:val="decimal"/>
      <w:lvlText w:val="%1."/>
      <w:lvlJc w:val="left"/>
      <w:pPr>
        <w:ind w:left="504" w:hanging="360"/>
      </w:pPr>
    </w:lvl>
    <w:lvl w:ilvl="1" w:tplc="0FE64B88">
      <w:numFmt w:val="decimal"/>
      <w:lvlText w:val=""/>
      <w:lvlJc w:val="left"/>
    </w:lvl>
    <w:lvl w:ilvl="2" w:tplc="2C66B804">
      <w:numFmt w:val="decimal"/>
      <w:lvlText w:val=""/>
      <w:lvlJc w:val="left"/>
    </w:lvl>
    <w:lvl w:ilvl="3" w:tplc="FFDE7D76">
      <w:numFmt w:val="decimal"/>
      <w:lvlText w:val=""/>
      <w:lvlJc w:val="left"/>
    </w:lvl>
    <w:lvl w:ilvl="4" w:tplc="9F2E504C">
      <w:numFmt w:val="decimal"/>
      <w:lvlText w:val=""/>
      <w:lvlJc w:val="left"/>
    </w:lvl>
    <w:lvl w:ilvl="5" w:tplc="C1F679E0">
      <w:numFmt w:val="decimal"/>
      <w:lvlText w:val=""/>
      <w:lvlJc w:val="left"/>
    </w:lvl>
    <w:lvl w:ilvl="6" w:tplc="1A3A79EA">
      <w:numFmt w:val="decimal"/>
      <w:lvlText w:val=""/>
      <w:lvlJc w:val="left"/>
    </w:lvl>
    <w:lvl w:ilvl="7" w:tplc="A9FE279E">
      <w:numFmt w:val="decimal"/>
      <w:lvlText w:val=""/>
      <w:lvlJc w:val="left"/>
    </w:lvl>
    <w:lvl w:ilvl="8" w:tplc="56E853A8">
      <w:numFmt w:val="decimal"/>
      <w:lvlText w:val=""/>
      <w:lvlJc w:val="left"/>
    </w:lvl>
  </w:abstractNum>
  <w:abstractNum w:abstractNumId="1" w15:restartNumberingAfterBreak="0">
    <w:nsid w:val="52D7599D"/>
    <w:multiLevelType w:val="hybridMultilevel"/>
    <w:tmpl w:val="3A1E045E"/>
    <w:lvl w:ilvl="0" w:tplc="C686B7A0">
      <w:start w:val="1"/>
      <w:numFmt w:val="bullet"/>
      <w:lvlText w:val="•"/>
      <w:lvlJc w:val="left"/>
      <w:pPr>
        <w:ind w:left="431" w:hanging="288"/>
      </w:pPr>
    </w:lvl>
    <w:lvl w:ilvl="1" w:tplc="E77406A6">
      <w:numFmt w:val="decimal"/>
      <w:lvlText w:val=""/>
      <w:lvlJc w:val="left"/>
    </w:lvl>
    <w:lvl w:ilvl="2" w:tplc="5E0458F6">
      <w:numFmt w:val="decimal"/>
      <w:lvlText w:val=""/>
      <w:lvlJc w:val="left"/>
    </w:lvl>
    <w:lvl w:ilvl="3" w:tplc="36BC3D00">
      <w:numFmt w:val="decimal"/>
      <w:lvlText w:val=""/>
      <w:lvlJc w:val="left"/>
    </w:lvl>
    <w:lvl w:ilvl="4" w:tplc="B09CBF0C">
      <w:numFmt w:val="decimal"/>
      <w:lvlText w:val=""/>
      <w:lvlJc w:val="left"/>
    </w:lvl>
    <w:lvl w:ilvl="5" w:tplc="BEA8DD20">
      <w:numFmt w:val="decimal"/>
      <w:lvlText w:val=""/>
      <w:lvlJc w:val="left"/>
    </w:lvl>
    <w:lvl w:ilvl="6" w:tplc="A60453C6">
      <w:numFmt w:val="decimal"/>
      <w:lvlText w:val=""/>
      <w:lvlJc w:val="left"/>
    </w:lvl>
    <w:lvl w:ilvl="7" w:tplc="439ABECA">
      <w:numFmt w:val="decimal"/>
      <w:lvlText w:val=""/>
      <w:lvlJc w:val="left"/>
    </w:lvl>
    <w:lvl w:ilvl="8" w:tplc="E3D061BA">
      <w:numFmt w:val="decimal"/>
      <w:lvlText w:val=""/>
      <w:lvlJc w:val="left"/>
    </w:lvl>
  </w:abstractNum>
  <w:abstractNum w:abstractNumId="2" w15:restartNumberingAfterBreak="0">
    <w:nsid w:val="63CC6282"/>
    <w:multiLevelType w:val="hybridMultilevel"/>
    <w:tmpl w:val="F05A376C"/>
    <w:lvl w:ilvl="0" w:tplc="B3CAFF76">
      <w:start w:val="1"/>
      <w:numFmt w:val="bullet"/>
      <w:lvlText w:val="●"/>
      <w:lvlJc w:val="left"/>
      <w:pPr>
        <w:ind w:left="720" w:hanging="360"/>
      </w:pPr>
    </w:lvl>
    <w:lvl w:ilvl="1" w:tplc="0BE0EEA0">
      <w:start w:val="1"/>
      <w:numFmt w:val="bullet"/>
      <w:lvlText w:val="○"/>
      <w:lvlJc w:val="left"/>
      <w:pPr>
        <w:ind w:left="1440" w:hanging="360"/>
      </w:pPr>
    </w:lvl>
    <w:lvl w:ilvl="2" w:tplc="2CDC7276">
      <w:start w:val="1"/>
      <w:numFmt w:val="bullet"/>
      <w:lvlText w:val="■"/>
      <w:lvlJc w:val="left"/>
      <w:pPr>
        <w:ind w:left="2160" w:hanging="360"/>
      </w:pPr>
    </w:lvl>
    <w:lvl w:ilvl="3" w:tplc="8AE2765E">
      <w:start w:val="1"/>
      <w:numFmt w:val="bullet"/>
      <w:lvlText w:val="●"/>
      <w:lvlJc w:val="left"/>
      <w:pPr>
        <w:ind w:left="2880" w:hanging="360"/>
      </w:pPr>
    </w:lvl>
    <w:lvl w:ilvl="4" w:tplc="816C7FE2">
      <w:start w:val="1"/>
      <w:numFmt w:val="bullet"/>
      <w:lvlText w:val="○"/>
      <w:lvlJc w:val="left"/>
      <w:pPr>
        <w:ind w:left="3600" w:hanging="360"/>
      </w:pPr>
    </w:lvl>
    <w:lvl w:ilvl="5" w:tplc="7FE4D748">
      <w:start w:val="1"/>
      <w:numFmt w:val="bullet"/>
      <w:lvlText w:val="■"/>
      <w:lvlJc w:val="left"/>
      <w:pPr>
        <w:ind w:left="4320" w:hanging="360"/>
      </w:pPr>
    </w:lvl>
    <w:lvl w:ilvl="6" w:tplc="777EAAA0">
      <w:start w:val="1"/>
      <w:numFmt w:val="bullet"/>
      <w:lvlText w:val="●"/>
      <w:lvlJc w:val="left"/>
      <w:pPr>
        <w:ind w:left="5040" w:hanging="360"/>
      </w:pPr>
    </w:lvl>
    <w:lvl w:ilvl="7" w:tplc="5EA2DFEC">
      <w:start w:val="1"/>
      <w:numFmt w:val="bullet"/>
      <w:lvlText w:val="●"/>
      <w:lvlJc w:val="left"/>
      <w:pPr>
        <w:ind w:left="5760" w:hanging="360"/>
      </w:pPr>
    </w:lvl>
    <w:lvl w:ilvl="8" w:tplc="E01E654E">
      <w:start w:val="1"/>
      <w:numFmt w:val="bullet"/>
      <w:lvlText w:val="●"/>
      <w:lvlJc w:val="left"/>
      <w:pPr>
        <w:ind w:left="6480" w:hanging="360"/>
      </w:pPr>
    </w:lvl>
  </w:abstractNum>
  <w:num w:numId="1" w16cid:durableId="319698587">
    <w:abstractNumId w:val="2"/>
    <w:lvlOverride w:ilvl="0">
      <w:startOverride w:val="1"/>
    </w:lvlOverride>
  </w:num>
  <w:num w:numId="2" w16cid:durableId="921258301">
    <w:abstractNumId w:val="1"/>
    <w:lvlOverride w:ilvl="0">
      <w:startOverride w:val="1"/>
    </w:lvlOverride>
  </w:num>
  <w:num w:numId="3" w16cid:durableId="295307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BC2"/>
    <w:rsid w:val="00397ACF"/>
    <w:rsid w:val="00590B7A"/>
    <w:rsid w:val="00994F8A"/>
    <w:rsid w:val="00A76055"/>
    <w:rsid w:val="00B76BC2"/>
    <w:rsid w:val="00DC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981B67"/>
  <w15:docId w15:val="{1E3FA26A-30E3-4259-8743-F332F330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760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6055"/>
  </w:style>
  <w:style w:type="paragraph" w:styleId="Rodap">
    <w:name w:val="footer"/>
    <w:basedOn w:val="Normal"/>
    <w:link w:val="RodapChar"/>
    <w:uiPriority w:val="99"/>
    <w:unhideWhenUsed/>
    <w:rsid w:val="00A760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1772</Words>
  <Characters>9573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Funcional — Sistema de Qualificação de Fornecedores</vt:lpstr>
    </vt:vector>
  </TitlesOfParts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— Sistema de Qualificação de Fornecedores</dc:title>
  <dc:creator>Perpec Oilfield Supply — SGQ</dc:creator>
  <cp:lastModifiedBy>João</cp:lastModifiedBy>
  <cp:revision>2</cp:revision>
  <cp:lastPrinted>2026-07-24T14:31:00Z</cp:lastPrinted>
  <dcterms:created xsi:type="dcterms:W3CDTF">2026-07-24T14:32:00Z</dcterms:created>
  <dcterms:modified xsi:type="dcterms:W3CDTF">2026-07-24T14:32:00Z</dcterms:modified>
</cp:coreProperties>
</file>