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6D4AB8"/>
          <w:sz w:val="42"/>
        </w:rPr>
        <w:t>GitHub Pull Requests for Agentic Coders</w:t>
      </w:r>
    </w:p>
    <w:p>
      <w:pPr>
        <w:spacing w:after="200"/>
      </w:pPr>
      <w:r>
        <w:rPr>
          <w:color w:val="666666"/>
          <w:sz w:val="22"/>
        </w:rPr>
        <w:t>Build roadmap  ·  as of 2026-09-12</w:t>
      </w:r>
    </w:p>
    <w:p>
      <w:pPr>
        <w:spacing w:after="280"/>
      </w:pPr>
      <w:r>
        <w:t>What is built, what is not, and what has to be decided before a cohort can run. Generated from roadmap/build_roadmap.py -- edit the script, not this document. The authoritative detail lives in NOTES.md (verified facts, open questions, build log); this is the map above it.</w:t>
      </w:r>
    </w:p>
    <w:p>
      <w:pPr>
        <w:spacing w:after="320"/>
      </w:pPr>
      <w:r>
        <w:rPr>
          <w:b/>
          <w:color w:val="1B7F3B"/>
          <w:sz w:val="18"/>
        </w:rPr>
        <w:t>DONE 5</w:t>
      </w:r>
      <w:r>
        <w:t xml:space="preserve">    </w:t>
      </w:r>
      <w:r>
        <w:rPr>
          <w:b/>
          <w:color w:val="6D4AB8"/>
          <w:sz w:val="18"/>
        </w:rPr>
        <w:t>NEXT 1</w:t>
      </w:r>
      <w:r>
        <w:t xml:space="preserve">    </w:t>
      </w:r>
      <w:r>
        <w:rPr>
          <w:b/>
          <w:color w:val="444444"/>
          <w:sz w:val="18"/>
        </w:rPr>
        <w:t>TODO 10</w:t>
      </w:r>
      <w:r>
        <w:t xml:space="preserve">    </w:t>
      </w:r>
      <w:r>
        <w:rPr>
          <w:b/>
          <w:color w:val="B32D2D"/>
          <w:sz w:val="18"/>
        </w:rPr>
        <w:t>BLOCKED 1</w:t>
      </w:r>
      <w:r>
        <w:t xml:space="preserve">    </w:t>
      </w:r>
      <w:r>
        <w:rPr>
          <w:b/>
          <w:color w:val="A56A00"/>
          <w:sz w:val="18"/>
        </w:rPr>
        <w:t>DECIDE 4</w:t>
      </w:r>
    </w:p>
    <w:p>
      <w:pPr>
        <w:spacing w:before="240" w:after="40"/>
      </w:pPr>
      <w:r>
        <w:rPr>
          <w:b/>
          <w:color w:val="6D4AB8"/>
          <w:sz w:val="28"/>
        </w:rPr>
        <w:t>Done</w:t>
      </w:r>
    </w:p>
    <w:p>
      <w:pPr>
        <w:spacing w:after="160"/>
      </w:pPr>
      <w:r>
        <w:rPr>
          <w:i/>
          <w:color w:val="666666"/>
          <w:sz w:val="19"/>
        </w:rPr>
        <w:t>Shipped and verified against real GitHub, not asserted.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224"/>
            <w:shd w:val="clear" w:fill="F4F2F9"/>
          </w:tcPr>
          <w:p>
            <w:pPr>
              <w:jc w:val="center"/>
            </w:pPr>
            <w:r>
              <w:rPr>
                <w:b/>
                <w:color w:val="1B7F3B"/>
                <w:sz w:val="16"/>
              </w:rPr>
              <w:t>DONE</w:t>
            </w:r>
          </w:p>
        </w:tc>
        <w:tc>
          <w:tcPr>
            <w:tcW w:type="dxa" w:w="8424"/>
          </w:tcPr>
          <w:p>
            <w:pPr>
              <w:spacing w:after="20"/>
            </w:pPr>
            <w:r>
              <w:rPr>
                <w:b/>
                <w:sz w:val="21"/>
              </w:rPr>
              <w:t>Course backbone</w:t>
            </w:r>
          </w:p>
          <w:p>
            <w:pPr>
              <w:spacing w:after="0"/>
            </w:pPr>
            <w:r>
              <w:rPr>
                <w:color w:val="333333"/>
                <w:sz w:val="19"/>
              </w:rPr>
              <w:t>MISSION.md, CONTEXT.md, NOTES.md, RESOURCES.md, ADRs 0001-0004, and the M01-M36 mastery-objectives workbook with its generator.</w:t>
            </w:r>
          </w:p>
        </w:tc>
      </w:tr>
      <w:tr>
        <w:tc>
          <w:tcPr>
            <w:tcW w:type="dxa" w:w="1224"/>
            <w:shd w:val="clear" w:fill="F4F2F9"/>
          </w:tcPr>
          <w:p>
            <w:pPr>
              <w:jc w:val="center"/>
            </w:pPr>
            <w:r>
              <w:rPr>
                <w:b/>
                <w:color w:val="1B7F3B"/>
                <w:sz w:val="16"/>
              </w:rPr>
              <w:t>DONE</w:t>
            </w:r>
          </w:p>
        </w:tc>
        <w:tc>
          <w:tcPr>
            <w:tcW w:type="dxa" w:w="8424"/>
          </w:tcPr>
          <w:p>
            <w:pPr>
              <w:spacing w:after="20"/>
            </w:pPr>
            <w:r>
              <w:rPr>
                <w:b/>
                <w:sz w:val="21"/>
              </w:rPr>
              <w:t>Week 1 vertical slice</w:t>
            </w:r>
          </w:p>
          <w:p>
            <w:pPr>
              <w:spacing w:after="0"/>
            </w:pPr>
            <w:r>
              <w:rPr>
                <w:color w:val="333333"/>
                <w:sz w:val="19"/>
              </w:rPr>
              <w:t>Course Home, the Week 1 hub, thirteen Learning Pages across M01-M06 (one folder per objective: an index.html entry page plus supporting pages, each with a Self-Check, a flashcard deck, and a where-to-learn-more list), assignment A1 with its rubric, and two checkers. Every terminal transcript was captured from a real command run against a real repository.</w:t>
            </w:r>
          </w:p>
        </w:tc>
      </w:tr>
      <w:tr>
        <w:tc>
          <w:tcPr>
            <w:tcW w:type="dxa" w:w="1224"/>
            <w:shd w:val="clear" w:fill="F4F2F9"/>
          </w:tcPr>
          <w:p>
            <w:pPr>
              <w:jc w:val="center"/>
            </w:pPr>
            <w:r>
              <w:rPr>
                <w:b/>
                <w:color w:val="1B7F3B"/>
                <w:sz w:val="16"/>
              </w:rPr>
              <w:t>DONE</w:t>
            </w:r>
          </w:p>
        </w:tc>
        <w:tc>
          <w:tcPr>
            <w:tcW w:type="dxa" w:w="8424"/>
          </w:tcPr>
          <w:p>
            <w:pPr>
              <w:spacing w:after="20"/>
            </w:pPr>
            <w:r>
              <w:rPr>
                <w:b/>
                <w:sz w:val="21"/>
              </w:rPr>
              <w:t>Seed Repo: perro-ruidoso/flashcards-seed</w:t>
            </w:r>
          </w:p>
          <w:p>
            <w:pPr>
              <w:spacing w:after="0"/>
            </w:pPr>
            <w:r>
              <w:rPr>
                <w:color w:val="333333"/>
                <w:sz w:val="19"/>
              </w:rPr>
              <w:t>Public, template flag set, CI green in 24s on Python 3.12. Tracer bullet only -- Card/Deck, json_store, `flashcards list` -- so the backlog is genuinely open work. 20 tests, ruff and mypy --strict clean, zero runtime dependencies.</w:t>
            </w:r>
          </w:p>
        </w:tc>
      </w:tr>
      <w:tr>
        <w:tc>
          <w:tcPr>
            <w:tcW w:type="dxa" w:w="1224"/>
            <w:shd w:val="clear" w:fill="F4F2F9"/>
          </w:tcPr>
          <w:p>
            <w:pPr>
              <w:jc w:val="center"/>
            </w:pPr>
            <w:r>
              <w:rPr>
                <w:b/>
                <w:color w:val="1B7F3B"/>
                <w:sz w:val="16"/>
              </w:rPr>
              <w:t>DONE</w:t>
            </w:r>
          </w:p>
        </w:tc>
        <w:tc>
          <w:tcPr>
            <w:tcW w:type="dxa" w:w="8424"/>
          </w:tcPr>
          <w:p>
            <w:pPr>
              <w:spacing w:after="20"/>
            </w:pPr>
            <w:r>
              <w:rPr>
                <w:b/>
                <w:sz w:val="21"/>
              </w:rPr>
              <w:t>Seed Repo backlog</w:t>
            </w:r>
          </w:p>
          <w:p>
            <w:pPr>
              <w:spacing w:after="0"/>
            </w:pPr>
            <w:r>
              <w:rPr>
                <w:color w:val="333333"/>
                <w:sz w:val="19"/>
              </w:rPr>
              <w:t>15 issues, 19 blocking edges recorded as real GitHub issue dependencies. Graph re-derived from what GitHub stores: 5 waves, max parallel width 4, five two-parent joins -- matches the spec's answer key.</w:t>
            </w:r>
          </w:p>
        </w:tc>
      </w:tr>
      <w:tr>
        <w:tc>
          <w:tcPr>
            <w:tcW w:type="dxa" w:w="1224"/>
            <w:shd w:val="clear" w:fill="F4F2F9"/>
          </w:tcPr>
          <w:p>
            <w:pPr>
              <w:jc w:val="center"/>
            </w:pPr>
            <w:r>
              <w:rPr>
                <w:b/>
                <w:color w:val="1B7F3B"/>
                <w:sz w:val="16"/>
              </w:rPr>
              <w:t>DONE</w:t>
            </w:r>
          </w:p>
        </w:tc>
        <w:tc>
          <w:tcPr>
            <w:tcW w:type="dxa" w:w="8424"/>
          </w:tcPr>
          <w:p>
            <w:pPr>
              <w:spacing w:after="20"/>
            </w:pPr>
            <w:r>
              <w:rPr>
                <w:b/>
                <w:sz w:val="21"/>
              </w:rPr>
              <w:t>Course repo under version control</w:t>
            </w:r>
          </w:p>
          <w:p>
            <w:pPr>
              <w:spacing w:after="0"/>
            </w:pPr>
            <w:r>
              <w:rPr>
                <w:color w:val="333333"/>
                <w:sz w:val="19"/>
              </w:rPr>
              <w:t>perro-ruidoso/gh-pr-mastery is public, with the site live at perro-ruidoso.github.io/gh-pr-mastery from main /docs. Dogfooding has begun: three merged PRs, each closing its issue by keyword, one recorded blocking relation. A1 item 6 now has a real exhibit.</w:t>
            </w:r>
          </w:p>
        </w:tc>
      </w:tr>
    </w:tbl>
    <w:p>
      <w:pPr>
        <w:spacing w:before="240" w:after="40"/>
      </w:pPr>
      <w:r>
        <w:rPr>
          <w:b/>
          <w:color w:val="6D4AB8"/>
          <w:sz w:val="28"/>
        </w:rPr>
        <w:t>Next</w:t>
      </w:r>
    </w:p>
    <w:p>
      <w:pPr>
        <w:spacing w:after="160"/>
      </w:pPr>
      <w:r>
        <w:rPr>
          <w:i/>
          <w:color w:val="666666"/>
          <w:sz w:val="19"/>
        </w:rPr>
        <w:t>The recommended order. Week 2 repeats a vertical slice already proven end to end; the upstream repo is not needed until Week 5.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224"/>
            <w:shd w:val="clear" w:fill="F4F2F9"/>
          </w:tcPr>
          <w:p>
            <w:pPr>
              <w:jc w:val="center"/>
            </w:pPr>
            <w:r>
              <w:rPr>
                <w:b/>
                <w:color w:val="6D4AB8"/>
                <w:sz w:val="16"/>
              </w:rPr>
              <w:t>NEXT</w:t>
            </w:r>
          </w:p>
        </w:tc>
        <w:tc>
          <w:tcPr>
            <w:tcW w:type="dxa" w:w="8424"/>
          </w:tcPr>
          <w:p>
            <w:pPr>
              <w:spacing w:after="20"/>
            </w:pPr>
            <w:r>
              <w:rPr>
                <w:b/>
                <w:sz w:val="21"/>
              </w:rPr>
              <w:t>Week 2 -- M07 to M12</w:t>
            </w:r>
          </w:p>
          <w:p>
            <w:pPr>
              <w:spacing w:after="0"/>
            </w:pPr>
            <w:r>
              <w:rPr>
                <w:color w:val="333333"/>
                <w:sz w:val="19"/>
              </w:rPr>
              <w:t>Week 2 hub plus Learning Pages for M07-M12: issue bodies an agent can execute, labels and issue types, /to-spec, tracer-bullet decomposition with /to-tickets, issue dependencies and Mermaid graphs, and wiring Linear. Assignment A2 with its checker.</w:t>
            </w:r>
          </w:p>
        </w:tc>
      </w:tr>
      <w:tr>
        <w:tc>
          <w:tcPr>
            <w:tcW w:type="dxa" w:w="1224"/>
            <w:shd w:val="clear" w:fill="F4F2F9"/>
          </w:tcPr>
          <w:p>
            <w:pPr>
              <w:jc w:val="center"/>
            </w:pPr>
            <w:r>
              <w:rPr>
                <w:b/>
                <w:color w:val="444444"/>
                <w:sz w:val="16"/>
              </w:rPr>
              <w:t>TODO</w:t>
            </w:r>
          </w:p>
        </w:tc>
        <w:tc>
          <w:tcPr>
            <w:tcW w:type="dxa" w:w="8424"/>
          </w:tcPr>
          <w:p>
            <w:pPr>
              <w:spacing w:after="20"/>
            </w:pPr>
            <w:r>
              <w:rPr>
                <w:b/>
                <w:sz w:val="21"/>
              </w:rPr>
              <w:t>Weeks 3 to 6 -- M13 to M36</w:t>
            </w:r>
          </w:p>
          <w:p>
            <w:pPr>
              <w:spacing w:after="0"/>
            </w:pPr>
            <w:r>
              <w:rPr>
                <w:color w:val="333333"/>
                <w:sz w:val="19"/>
              </w:rPr>
              <w:t>Four more vertical slices, ~24 Learning Pages, assignments A3-A6, two graded concept quizzes, and the capstone.</w:t>
            </w:r>
          </w:p>
        </w:tc>
      </w:tr>
      <w:tr>
        <w:tc>
          <w:tcPr>
            <w:tcW w:type="dxa" w:w="1224"/>
            <w:shd w:val="clear" w:fill="F4F2F9"/>
          </w:tcPr>
          <w:p>
            <w:pPr>
              <w:jc w:val="center"/>
            </w:pPr>
            <w:r>
              <w:rPr>
                <w:b/>
                <w:color w:val="444444"/>
                <w:sz w:val="16"/>
              </w:rPr>
              <w:t>TODO</w:t>
            </w:r>
          </w:p>
        </w:tc>
        <w:tc>
          <w:tcPr>
            <w:tcW w:type="dxa" w:w="8424"/>
          </w:tcPr>
          <w:p>
            <w:pPr>
              <w:spacing w:after="20"/>
            </w:pPr>
            <w:r>
              <w:rPr>
                <w:b/>
                <w:sz w:val="21"/>
              </w:rPr>
              <w:t>Upstream Repo: flashcards-upstream</w:t>
            </w:r>
          </w:p>
          <w:p>
            <w:pPr>
              <w:spacing w:after="0"/>
            </w:pPr>
            <w:r>
              <w:rPr>
                <w:color w:val="333333"/>
                <w:sz w:val="19"/>
              </w:rPr>
              <w:t>The shared repo students contribute to and take turns maintaining. Needed by Week 5. Two modes, and the difference is taught rather than hidden -- see adr/0004.</w:t>
            </w:r>
          </w:p>
        </w:tc>
      </w:tr>
    </w:tbl>
    <w:p>
      <w:pPr>
        <w:spacing w:before="240" w:after="40"/>
      </w:pPr>
      <w:r>
        <w:rPr>
          <w:b/>
          <w:color w:val="6D4AB8"/>
          <w:sz w:val="28"/>
        </w:rPr>
        <w:t>Infrastructure</w:t>
      </w:r>
    </w:p>
    <w:p>
      <w:pPr>
        <w:spacing w:after="160"/>
      </w:pPr>
      <w:r>
        <w:rPr>
          <w:i/>
          <w:color w:val="666666"/>
          <w:sz w:val="19"/>
        </w:rPr>
        <w:t>Course machinery that is not a Learning Page.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224"/>
            <w:shd w:val="clear" w:fill="F4F2F9"/>
          </w:tcPr>
          <w:p>
            <w:pPr>
              <w:jc w:val="center"/>
            </w:pPr>
            <w:r>
              <w:rPr>
                <w:b/>
                <w:color w:val="444444"/>
                <w:sz w:val="16"/>
              </w:rPr>
              <w:t>TODO</w:t>
            </w:r>
          </w:p>
        </w:tc>
        <w:tc>
          <w:tcPr>
            <w:tcW w:type="dxa" w:w="8424"/>
          </w:tcPr>
          <w:p>
            <w:pPr>
              <w:spacing w:after="20"/>
            </w:pPr>
            <w:r>
              <w:rPr>
                <w:b/>
                <w:sz w:val="21"/>
              </w:rPr>
              <w:t>Claude GitHub Action on the upstream repo</w:t>
            </w:r>
          </w:p>
          <w:p>
            <w:pPr>
              <w:spacing w:after="0"/>
            </w:pPr>
            <w:r>
              <w:rPr>
                <w:color w:val="333333"/>
                <w:sz w:val="19"/>
              </w:rPr>
              <w:t>Workflow plus a CLAUDE_CODE_OAUTH_TOKEN repository secret from `claude setup-token`. Tied to the instructor's personal subscription: a single point of failure to monitor.</w:t>
            </w:r>
          </w:p>
        </w:tc>
      </w:tr>
      <w:tr>
        <w:tc>
          <w:tcPr>
            <w:tcW w:type="dxa" w:w="1224"/>
            <w:shd w:val="clear" w:fill="F4F2F9"/>
          </w:tcPr>
          <w:p>
            <w:pPr>
              <w:jc w:val="center"/>
            </w:pPr>
            <w:r>
              <w:rPr>
                <w:b/>
                <w:color w:val="B32D2D"/>
                <w:sz w:val="16"/>
              </w:rPr>
              <w:t>BLOCKED</w:t>
            </w:r>
          </w:p>
        </w:tc>
        <w:tc>
          <w:tcPr>
            <w:tcW w:type="dxa" w:w="8424"/>
          </w:tcPr>
          <w:p>
            <w:pPr>
              <w:spacing w:after="20"/>
            </w:pPr>
            <w:r>
              <w:rPr>
                <w:b/>
                <w:sz w:val="21"/>
              </w:rPr>
              <w:t>Week 4 planted-bug diff</w:t>
            </w:r>
          </w:p>
          <w:p>
            <w:pPr>
              <w:spacing w:after="0"/>
            </w:pPr>
            <w:r>
              <w:rPr>
                <w:color w:val="333333"/>
                <w:sz w:val="19"/>
              </w:rPr>
              <w:t>The three SM-2 bugs live in scheduler.py, which is ticket T03's output. The diff can only be authored on an Instance where T03 has landed, never against the template. Also still open: whether it ships as a prepared PR per Instance or as a patch.</w:t>
            </w:r>
          </w:p>
        </w:tc>
      </w:tr>
      <w:tr>
        <w:tc>
          <w:tcPr>
            <w:tcW w:type="dxa" w:w="1224"/>
            <w:shd w:val="clear" w:fill="F4F2F9"/>
          </w:tcPr>
          <w:p>
            <w:pPr>
              <w:jc w:val="center"/>
            </w:pPr>
            <w:r>
              <w:rPr>
                <w:b/>
                <w:color w:val="444444"/>
                <w:sz w:val="16"/>
              </w:rPr>
              <w:t>TODO</w:t>
            </w:r>
          </w:p>
        </w:tc>
        <w:tc>
          <w:tcPr>
            <w:tcW w:type="dxa" w:w="8424"/>
          </w:tcPr>
          <w:p>
            <w:pPr>
              <w:spacing w:after="20"/>
            </w:pPr>
            <w:r>
              <w:rPr>
                <w:b/>
                <w:sz w:val="21"/>
              </w:rPr>
              <w:t>Merge-strategy simulator widget</w:t>
            </w:r>
          </w:p>
          <w:p>
            <w:pPr>
              <w:spacing w:after="0"/>
            </w:pPr>
            <w:r>
              <w:rPr>
                <w:color w:val="333333"/>
                <w:sz w:val="19"/>
              </w:rPr>
              <w:t>The one bespoke widget, for Week 5. Vanilla JS, vendored, per adr/0001.</w:t>
            </w:r>
          </w:p>
        </w:tc>
      </w:tr>
      <w:tr>
        <w:tc>
          <w:tcPr>
            <w:tcW w:type="dxa" w:w="1224"/>
            <w:shd w:val="clear" w:fill="F4F2F9"/>
          </w:tcPr>
          <w:p>
            <w:pPr>
              <w:jc w:val="center"/>
            </w:pPr>
            <w:r>
              <w:rPr>
                <w:b/>
                <w:color w:val="444444"/>
                <w:sz w:val="16"/>
              </w:rPr>
              <w:t>TODO</w:t>
            </w:r>
          </w:p>
        </w:tc>
        <w:tc>
          <w:tcPr>
            <w:tcW w:type="dxa" w:w="8424"/>
          </w:tcPr>
          <w:p>
            <w:pPr>
              <w:spacing w:after="20"/>
            </w:pPr>
            <w:r>
              <w:rPr>
                <w:b/>
                <w:sz w:val="21"/>
              </w:rPr>
              <w:t>UI captures</w:t>
            </w:r>
          </w:p>
          <w:p>
            <w:pPr>
              <w:spacing w:after="0"/>
            </w:pPr>
            <w:r>
              <w:rPr>
                <w:color w:val="333333"/>
                <w:sz w:val="19"/>
              </w:rPr>
              <w:t>Rulesets, merge queue configuration, and Linear settings -- the surfaces with no CLI equivalent. Stored under docs/assets/shots/ with visible capture dates, because they rot.</w:t>
            </w:r>
          </w:p>
        </w:tc>
      </w:tr>
      <w:tr>
        <w:tc>
          <w:tcPr>
            <w:tcW w:type="dxa" w:w="1224"/>
            <w:shd w:val="clear" w:fill="F4F2F9"/>
          </w:tcPr>
          <w:p>
            <w:pPr>
              <w:jc w:val="center"/>
            </w:pPr>
            <w:r>
              <w:rPr>
                <w:b/>
                <w:color w:val="444444"/>
                <w:sz w:val="16"/>
              </w:rPr>
              <w:t>TODO</w:t>
            </w:r>
          </w:p>
        </w:tc>
        <w:tc>
          <w:tcPr>
            <w:tcW w:type="dxa" w:w="8424"/>
          </w:tcPr>
          <w:p>
            <w:pPr>
              <w:spacing w:after="20"/>
            </w:pPr>
            <w:r>
              <w:rPr>
                <w:b/>
                <w:sz w:val="21"/>
              </w:rPr>
              <w:t>Student roster tooling</w:t>
            </w:r>
          </w:p>
          <w:p>
            <w:pPr>
              <w:spacing w:after="0"/>
            </w:pPr>
            <w:r>
              <w:rPr>
                <w:color w:val="333333"/>
                <w:sz w:val="19"/>
              </w:rPr>
              <w:t>handles.txt and a batch run of check_a1.py across the cohort.</w:t>
            </w:r>
          </w:p>
        </w:tc>
      </w:tr>
    </w:tbl>
    <w:p>
      <w:pPr>
        <w:spacing w:before="240" w:after="40"/>
      </w:pPr>
      <w:r>
        <w:rPr>
          <w:b/>
          <w:color w:val="6D4AB8"/>
          <w:sz w:val="28"/>
        </w:rPr>
        <w:t>Decisions you owe</w:t>
      </w:r>
    </w:p>
    <w:p>
      <w:pPr>
        <w:spacing w:after="160"/>
      </w:pPr>
      <w:r>
        <w:rPr>
          <w:i/>
          <w:color w:val="666666"/>
          <w:sz w:val="19"/>
        </w:rPr>
        <w:t>None of these are mine to make, and each blocks something concrete.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224"/>
            <w:shd w:val="clear" w:fill="F4F2F9"/>
          </w:tcPr>
          <w:p>
            <w:pPr>
              <w:jc w:val="center"/>
            </w:pPr>
            <w:r>
              <w:rPr>
                <w:b/>
                <w:color w:val="A56A00"/>
                <w:sz w:val="16"/>
              </w:rPr>
              <w:t>DECIDE</w:t>
            </w:r>
          </w:p>
        </w:tc>
        <w:tc>
          <w:tcPr>
            <w:tcW w:type="dxa" w:w="8424"/>
          </w:tcPr>
          <w:p>
            <w:pPr>
              <w:spacing w:after="20"/>
            </w:pPr>
            <w:r>
              <w:rPr>
                <w:b/>
                <w:sz w:val="21"/>
              </w:rPr>
              <w:t>Linear Free plan: does it include GitHub Issues Sync?</w:t>
            </w:r>
          </w:p>
          <w:p>
            <w:pPr>
              <w:spacing w:after="0"/>
            </w:pPr>
            <w:r>
              <w:rPr>
                <w:color w:val="333333"/>
                <w:sz w:val="19"/>
              </w:rPr>
              <w:t>Blocks the final wording of M12, the last objective of Week 2. If Sync is paid-only, M12 falls back to PR/commit linking alone and Week 6's sync content becomes instructor-demoed. Confirm against linear.app/pricing with a real Free workspace.</w:t>
            </w:r>
          </w:p>
        </w:tc>
      </w:tr>
      <w:tr>
        <w:tc>
          <w:tcPr>
            <w:tcW w:type="dxa" w:w="1224"/>
            <w:shd w:val="clear" w:fill="F4F2F9"/>
          </w:tcPr>
          <w:p>
            <w:pPr>
              <w:jc w:val="center"/>
            </w:pPr>
            <w:r>
              <w:rPr>
                <w:b/>
                <w:color w:val="A56A00"/>
                <w:sz w:val="16"/>
              </w:rPr>
              <w:t>DECIDE</w:t>
            </w:r>
          </w:p>
        </w:tc>
        <w:tc>
          <w:tcPr>
            <w:tcW w:type="dxa" w:w="8424"/>
          </w:tcPr>
          <w:p>
            <w:pPr>
              <w:spacing w:after="20"/>
            </w:pPr>
            <w:r>
              <w:rPr>
                <w:b/>
                <w:sz w:val="21"/>
              </w:rPr>
              <w:t>Org plan: pay for Team seats, or downgrade to Free?</w:t>
            </w:r>
          </w:p>
          <w:p>
            <w:pPr>
              <w:spacing w:after="0"/>
            </w:pPr>
            <w:r>
              <w:rPr>
                <w:color w:val="333333"/>
                <w:sz w:val="19"/>
              </w:rPr>
              <w:t>perro-ruidoso is on Team with 2 seats, 1 filled. A cohort of 8-14 plus the instructor needs 9-15 at $4/user/month. Downgrading costs the curriculum nothing -- every gate the course uses works on a public repo at either tier. Decide before inviting students.</w:t>
            </w:r>
          </w:p>
        </w:tc>
      </w:tr>
      <w:tr>
        <w:tc>
          <w:tcPr>
            <w:tcW w:type="dxa" w:w="1224"/>
            <w:shd w:val="clear" w:fill="F4F2F9"/>
          </w:tcPr>
          <w:p>
            <w:pPr>
              <w:jc w:val="center"/>
            </w:pPr>
            <w:r>
              <w:rPr>
                <w:b/>
                <w:color w:val="A56A00"/>
                <w:sz w:val="16"/>
              </w:rPr>
              <w:t>DECIDE</w:t>
            </w:r>
          </w:p>
        </w:tc>
        <w:tc>
          <w:tcPr>
            <w:tcW w:type="dxa" w:w="8424"/>
          </w:tcPr>
          <w:p>
            <w:pPr>
              <w:spacing w:after="20"/>
            </w:pPr>
            <w:r>
              <w:rPr>
                <w:b/>
                <w:sz w:val="21"/>
              </w:rPr>
              <w:t>The fifth triage label is free</w:t>
            </w:r>
          </w:p>
          <w:p>
            <w:pPr>
              <w:spacing w:after="0"/>
            </w:pPr>
            <w:r>
              <w:rPr>
                <w:color w:val="333333"/>
                <w:sz w:val="19"/>
              </w:rPr>
              <w:t>wontfix is in GitHub's default label set, so A1 item 4 assesses four labels, not five, and no change to the template can fix it. Options: accept it; rename the fifth role to something outside the defaults; or have check_a1.py assert the label was deliberately edited.</w:t>
            </w:r>
          </w:p>
        </w:tc>
      </w:tr>
      <w:tr>
        <w:tc>
          <w:tcPr>
            <w:tcW w:type="dxa" w:w="1224"/>
            <w:shd w:val="clear" w:fill="F4F2F9"/>
          </w:tcPr>
          <w:p>
            <w:pPr>
              <w:jc w:val="center"/>
            </w:pPr>
            <w:r>
              <w:rPr>
                <w:b/>
                <w:color w:val="A56A00"/>
                <w:sz w:val="16"/>
              </w:rPr>
              <w:t>DECIDE</w:t>
            </w:r>
          </w:p>
        </w:tc>
        <w:tc>
          <w:tcPr>
            <w:tcW w:type="dxa" w:w="8424"/>
          </w:tcPr>
          <w:p>
            <w:pPr>
              <w:spacing w:after="20"/>
            </w:pPr>
            <w:r>
              <w:rPr>
                <w:b/>
                <w:sz w:val="21"/>
              </w:rPr>
              <w:t>Does a Pro subscription absorb the cohort's CI review volume?</w:t>
            </w:r>
          </w:p>
          <w:p>
            <w:pPr>
              <w:spacing w:after="0"/>
            </w:pPr>
            <w:r>
              <w:rPr>
                <w:color w:val="333333"/>
                <w:sz w:val="19"/>
              </w:rPr>
              <w:t>Or is Max needed? Measure during the Week 5 dry run, before it matters.</w:t>
            </w:r>
          </w:p>
        </w:tc>
      </w:tr>
    </w:tbl>
    <w:p>
      <w:pPr>
        <w:spacing w:before="240" w:after="40"/>
      </w:pPr>
      <w:r>
        <w:rPr>
          <w:b/>
          <w:color w:val="6D4AB8"/>
          <w:sz w:val="28"/>
        </w:rPr>
        <w:t>Before the first cohort</w:t>
      </w:r>
    </w:p>
    <w:p>
      <w:pPr>
        <w:spacing w:after="160"/>
      </w:pPr>
      <w:r>
        <w:rPr>
          <w:i/>
          <w:color w:val="666666"/>
          <w:sz w:val="19"/>
        </w:rPr>
        <w:t>Operational, once the content exists.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224"/>
            <w:shd w:val="clear" w:fill="F4F2F9"/>
          </w:tcPr>
          <w:p>
            <w:pPr>
              <w:jc w:val="center"/>
            </w:pPr>
            <w:r>
              <w:rPr>
                <w:b/>
                <w:color w:val="444444"/>
                <w:sz w:val="16"/>
              </w:rPr>
              <w:t>TODO</w:t>
            </w:r>
          </w:p>
        </w:tc>
        <w:tc>
          <w:tcPr>
            <w:tcW w:type="dxa" w:w="8424"/>
          </w:tcPr>
          <w:p>
            <w:pPr>
              <w:spacing w:after="20"/>
            </w:pPr>
            <w:r>
              <w:rPr>
                <w:b/>
                <w:sz w:val="21"/>
              </w:rPr>
              <w:t>Syllabus states that all student work is world-readable</w:t>
            </w:r>
          </w:p>
          <w:p>
            <w:pPr>
              <w:spacing w:after="0"/>
            </w:pPr>
            <w:r>
              <w:rPr>
                <w:color w:val="333333"/>
                <w:sz w:val="19"/>
              </w:rPr>
              <w:t>Required by adr/0003 before enrolment, not after.</w:t>
            </w:r>
          </w:p>
        </w:tc>
      </w:tr>
      <w:tr>
        <w:tc>
          <w:tcPr>
            <w:tcW w:type="dxa" w:w="1224"/>
            <w:shd w:val="clear" w:fill="F4F2F9"/>
          </w:tcPr>
          <w:p>
            <w:pPr>
              <w:jc w:val="center"/>
            </w:pPr>
            <w:r>
              <w:rPr>
                <w:b/>
                <w:color w:val="444444"/>
                <w:sz w:val="16"/>
              </w:rPr>
              <w:t>TODO</w:t>
            </w:r>
          </w:p>
        </w:tc>
        <w:tc>
          <w:tcPr>
            <w:tcW w:type="dxa" w:w="8424"/>
          </w:tcPr>
          <w:p>
            <w:pPr>
              <w:spacing w:after="20"/>
            </w:pPr>
            <w:r>
              <w:rPr>
                <w:b/>
                <w:sz w:val="21"/>
              </w:rPr>
              <w:t>Invite students; each sets org membership to Public</w:t>
            </w:r>
          </w:p>
          <w:p>
            <w:pPr>
              <w:spacing w:after="0"/>
            </w:pPr>
            <w:r>
              <w:rPr>
                <w:color w:val="333333"/>
                <w:sz w:val="19"/>
              </w:rPr>
              <w:t>Private membership silently breaks the Claude GitHub App's write-access detection in Week 5.</w:t>
            </w:r>
          </w:p>
        </w:tc>
      </w:tr>
      <w:tr>
        <w:tc>
          <w:tcPr>
            <w:tcW w:type="dxa" w:w="1224"/>
            <w:shd w:val="clear" w:fill="F4F2F9"/>
          </w:tcPr>
          <w:p>
            <w:pPr>
              <w:jc w:val="center"/>
            </w:pPr>
            <w:r>
              <w:rPr>
                <w:b/>
                <w:color w:val="444444"/>
                <w:sz w:val="16"/>
              </w:rPr>
              <w:t>TODO</w:t>
            </w:r>
          </w:p>
        </w:tc>
        <w:tc>
          <w:tcPr>
            <w:tcW w:type="dxa" w:w="8424"/>
          </w:tcPr>
          <w:p>
            <w:pPr>
              <w:spacing w:after="20"/>
            </w:pPr>
            <w:r>
              <w:rPr>
                <w:b/>
                <w:sz w:val="21"/>
              </w:rPr>
              <w:t>Re-verify every vendor-behaviour fact in NOTES.md</w:t>
            </w:r>
          </w:p>
          <w:p>
            <w:pPr>
              <w:spacing w:after="0"/>
            </w:pPr>
            <w:r>
              <w:rPr>
                <w:color w:val="333333"/>
                <w:sz w:val="19"/>
              </w:rPr>
              <w:t>Those are the rows that move. Re-check before each cohort, not once.</w:t>
            </w:r>
          </w:p>
        </w:tc>
      </w:tr>
      <w:tr>
        <w:tc>
          <w:tcPr>
            <w:tcW w:type="dxa" w:w="1224"/>
            <w:shd w:val="clear" w:fill="F4F2F9"/>
          </w:tcPr>
          <w:p>
            <w:pPr>
              <w:jc w:val="center"/>
            </w:pPr>
            <w:r>
              <w:rPr>
                <w:b/>
                <w:color w:val="444444"/>
                <w:sz w:val="16"/>
              </w:rPr>
              <w:t>TODO</w:t>
            </w:r>
          </w:p>
        </w:tc>
        <w:tc>
          <w:tcPr>
            <w:tcW w:type="dxa" w:w="8424"/>
          </w:tcPr>
          <w:p>
            <w:pPr>
              <w:spacing w:after="20"/>
            </w:pPr>
            <w:r>
              <w:rPr>
                <w:b/>
                <w:sz w:val="21"/>
              </w:rPr>
              <w:t>Week 5 dry run</w:t>
            </w:r>
          </w:p>
          <w:p>
            <w:pPr>
              <w:spacing w:after="0"/>
            </w:pPr>
            <w:r>
              <w:rPr>
                <w:color w:val="333333"/>
                <w:sz w:val="19"/>
              </w:rPr>
              <w:t>The first time gates, merge queue, and agentic CI review run together under load.</w:t>
            </w:r>
          </w:p>
        </w:tc>
      </w:tr>
    </w:tbl>
    <w:p/>
    <w:p>
      <w:r>
        <w:rPr>
          <w:color w:val="666666"/>
          <w:sz w:val="17"/>
        </w:rPr>
        <w:t>Regenerate with: python roadmap/build_roadmap.py   ·   Detail and sources: NOTES.md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