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240"/>
        <w:jc w:val="center"/>
      </w:pPr>
      <w:r>
        <w:rPr>
          <w:rFonts w:ascii="Calibri" w:hAnsi="Calibri"/>
          <w:b/>
          <w:i w:val="0"/>
          <w:color w:val="E29A0C"/>
          <w:sz w:val="22"/>
        </w:rPr>
        <w:t>MANUAL DE TRABAJO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16202A"/>
          <w:sz w:val="56"/>
        </w:rPr>
        <w:t>Sistema agéntico supervisado</w:t>
      </w:r>
    </w:p>
    <w:p>
      <w:pPr>
        <w:spacing w:after="320"/>
        <w:jc w:val="center"/>
      </w:pPr>
      <w:r>
        <w:rPr>
          <w:rFonts w:ascii="Calibri" w:hAnsi="Calibri"/>
          <w:b w:val="0"/>
          <w:i w:val="0"/>
          <w:color w:val="55636E"/>
          <w:sz w:val="28"/>
        </w:rPr>
        <w:t>Investigación y desarrollo spec-driven para operaciones y contratos mineros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CEFD2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6202A"/>
                <w:sz w:val="21"/>
              </w:rPr>
              <w:t>Caso inicial: transporte de trabajadores · Región de Antofagasta · Multiempresa y multicontrato</w:t>
            </w:r>
          </w:p>
        </w:tc>
      </w:tr>
    </w:tbl>
    <w:p>
      <w:pPr>
        <w:spacing w:before="1400"/>
        <w:jc w:val="center"/>
      </w:pPr>
      <w:r>
        <w:rPr>
          <w:rFonts w:ascii="Calibri" w:hAnsi="Calibri"/>
          <w:b w:val="0"/>
          <w:i w:val="0"/>
          <w:color w:val="55636E"/>
          <w:sz w:val="20"/>
        </w:rPr>
        <w:t>Preparado para Eduardo Perrot · Septiembre de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6202A"/>
          <w:sz w:val="32"/>
        </w:rPr>
        <w:t>Cómo usar este documento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Cárgalo como archivo base en un proyecto o conversación de Work Mode.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Copia el Prompt Maestro de la última sección para iniciar al Supervisor.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El Supervisor comienza en modo RESEARCH y no programa hasta superar las compuertas humanas.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La estructura lógica de carpetas sigue siendo la indicada en este manual; el archivo Word reúne su contenido para que pueda abrirse sin ZIP.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Estructura lógica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00-contexto — visión, alcance e inventario del MVP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01-investigacion — plan, fuentes, matriz de evidencia y entrevistas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02-descubrimiento — procesos as-is y to-be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03-producto — propuesta de valor y estrategia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04-especificaciones — requisitos y criterios de aceptación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05-arquitectura — datos, permisos, seguridad e integraciones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06-gobernanza — compuertas y decisiones humanas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07-backlog — roadmap priorizado por evidencia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08-validacion — pruebas y condición de piloto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09-plataforma — implementación aprobada y prototipo de referencia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agentes — responsabilidades especializadas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E29A0C"/>
          <w:sz w:val="22"/>
        </w:rPr>
        <w:t>01</w:t>
      </w:r>
    </w:p>
    <w:p>
      <w:pPr>
        <w:spacing w:after="240"/>
      </w:pPr>
      <w:r>
        <w:rPr>
          <w:rFonts w:ascii="Calibri" w:hAnsi="Calibri"/>
          <w:b/>
          <w:i w:val="0"/>
          <w:color w:val="16202A"/>
          <w:sz w:val="44"/>
        </w:rPr>
        <w:t>Instrucciones del proyecto</w:t>
      </w:r>
    </w:p>
    <w:p>
      <w:r>
        <w:rPr>
          <w:rFonts w:ascii="Calibri" w:hAnsi="Calibri"/>
          <w:b w:val="0"/>
          <w:i w:val="0"/>
          <w:color w:val="16202A"/>
          <w:sz w:val="22"/>
        </w:rPr>
        <w:t>Este proyecto define cómo investigar, especificar y construir una plataforma multiempresa para controlar contratos y servicios operacionales. El primer caso de uso es la trazabilidad de transporte de trabajadores; la arquitectura debe permitir incorporar alojamiento, alimentación, flota, mantenimiento u otros servicios sin rehacer el núcleo.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Principio de trabajo</w:t>
      </w:r>
    </w:p>
    <w:p>
      <w:r>
        <w:rPr>
          <w:rFonts w:ascii="Calibri" w:hAnsi="Calibri"/>
          <w:b w:val="0"/>
          <w:i w:val="0"/>
          <w:color w:val="16202A"/>
          <w:sz w:val="22"/>
        </w:rPr>
        <w:t>La plataforma se desarrolla mediante especificaciones. Ningún agente puede convertir una idea, una práctica observada o una función del prototipo en código de producción sin: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evidencia o necesidad identificada;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requisito trazable;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criterio de aceptación verificable;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análisis de seguridad, datos y permisos;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aprobación humana en la compuerta correspondiente.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Cómo iniciar una sesión de trabajo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 xml:space="preserve">Leer </w:t>
      </w:r>
      <w:r>
        <w:rPr>
          <w:rFonts w:ascii="Consolas" w:hAnsi="Consolas"/>
          <w:b w:val="0"/>
          <w:i w:val="0"/>
          <w:color w:val="16202A"/>
          <w:sz w:val="21"/>
        </w:rPr>
        <w:t>AGENTS.md</w:t>
      </w:r>
      <w:r>
        <w:rPr>
          <w:rFonts w:ascii="Calibri" w:hAnsi="Calibri"/>
          <w:b w:val="0"/>
          <w:i w:val="0"/>
          <w:color w:val="16202A"/>
          <w:sz w:val="22"/>
        </w:rPr>
        <w:t xml:space="preserve"> y </w:t>
      </w:r>
      <w:r>
        <w:rPr>
          <w:rFonts w:ascii="Consolas" w:hAnsi="Consolas"/>
          <w:b w:val="0"/>
          <w:i w:val="0"/>
          <w:color w:val="16202A"/>
          <w:sz w:val="21"/>
        </w:rPr>
        <w:t>00-contexto/vision-y-alcance.md</w:t>
      </w:r>
      <w:r>
        <w:rPr>
          <w:rFonts w:ascii="Calibri" w:hAnsi="Calibri"/>
          <w:b w:val="0"/>
          <w:i w:val="0"/>
          <w:color w:val="16202A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 xml:space="preserve">Registrar el objetivo de la sesión en </w:t>
      </w:r>
      <w:r>
        <w:rPr>
          <w:rFonts w:ascii="Consolas" w:hAnsi="Consolas"/>
          <w:b w:val="0"/>
          <w:i w:val="0"/>
          <w:color w:val="16202A"/>
          <w:sz w:val="21"/>
        </w:rPr>
        <w:t>06-gobernanza/registro-aprobaciones.md</w:t>
      </w:r>
      <w:r>
        <w:rPr>
          <w:rFonts w:ascii="Calibri" w:hAnsi="Calibri"/>
          <w:b w:val="0"/>
          <w:i w:val="0"/>
          <w:color w:val="16202A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Ejecutar solo la fase autorizada: investigación, definición, diseño, construcción o validación.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Actualizar la matriz de evidencia y el registro de decisiones.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Detenerse en cada compuerta que requiera aprobación de Eduardo.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Flujo</w:t>
      </w:r>
    </w:p>
    <w:p>
      <w:r>
        <w:rPr>
          <w:rFonts w:ascii="Consolas" w:hAnsi="Consolas"/>
          <w:b w:val="0"/>
          <w:i w:val="0"/>
          <w:color w:val="16202A"/>
          <w:sz w:val="21"/>
        </w:rPr>
        <w:t>investigación -&gt; mapa operativo -&gt; oportunidades -&gt; producto -&gt; especificaciones -&gt; arquitectura -&gt; implementación -&gt; validación -&gt; piloto</w:t>
      </w:r>
    </w:p>
    <w:p>
      <w:r>
        <w:rPr>
          <w:rFonts w:ascii="Calibri" w:hAnsi="Calibri"/>
          <w:b w:val="0"/>
          <w:i w:val="0"/>
          <w:color w:val="16202A"/>
          <w:sz w:val="22"/>
        </w:rPr>
        <w:t xml:space="preserve">El prototipo adjunto se conserva en </w:t>
      </w:r>
      <w:r>
        <w:rPr>
          <w:rFonts w:ascii="Consolas" w:hAnsi="Consolas"/>
          <w:b w:val="0"/>
          <w:i w:val="0"/>
          <w:color w:val="16202A"/>
          <w:sz w:val="21"/>
        </w:rPr>
        <w:t>09-plataforma/prototipo-actual/index.html</w:t>
      </w:r>
      <w:r>
        <w:rPr>
          <w:rFonts w:ascii="Calibri" w:hAnsi="Calibri"/>
          <w:b w:val="0"/>
          <w:i w:val="0"/>
          <w:color w:val="16202A"/>
          <w:sz w:val="22"/>
        </w:rPr>
        <w:t xml:space="preserve"> como referencia funcional, no como fuente única de verdad.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E29A0C"/>
          <w:sz w:val="22"/>
        </w:rPr>
        <w:t>02</w:t>
      </w:r>
    </w:p>
    <w:p>
      <w:pPr>
        <w:spacing w:after="240"/>
      </w:pPr>
      <w:r>
        <w:rPr>
          <w:rFonts w:ascii="Calibri" w:hAnsi="Calibri"/>
          <w:b/>
          <w:i w:val="0"/>
          <w:color w:val="16202A"/>
          <w:sz w:val="44"/>
        </w:rPr>
        <w:t>Reglas del agente supervisor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Misión</w:t>
      </w:r>
    </w:p>
    <w:p>
      <w:r>
        <w:rPr>
          <w:rFonts w:ascii="Calibri" w:hAnsi="Calibri"/>
          <w:b w:val="0"/>
          <w:i w:val="0"/>
          <w:color w:val="16202A"/>
          <w:sz w:val="22"/>
        </w:rPr>
        <w:t>Investigar cómo las compañías mineras y sus contratistas gestionan servicios, usuarios, evidencias y contratos en Antofagasta y en mercados internacionales de referencia; identificar prácticas exitosas y económicamente adaptables; luego especificar y construir una plataforma multiempresa con supervisión humana.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Alcance inicial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Núcleo: organizaciones, usuarios, contratos, servicios, solicitudes, aprobaciones, evidencias, auditoría, indicadores y conciliación.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Primer módulo: transporte de trabajadores y control de capacidad/servicios adicionales.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Extensible: alojamiento, alimentación, equipos, mantenimiento, acceso y otros contratos de servicio.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Geografía prioritaria: Región de Antofagasta y Chile.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Referencias internacionales: Australia, Canadá, Perú y, cuando agregue valor, Sudáfrica o Estados Unidos.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Horizonte de evidencia: priorizar 2023 en adelante; usar antecedentes anteriores solo si siguen vigentes.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Reglas intransables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No asumir que una práctica declarada es una práctica real. Etiquetar evidencia como normativa, contractual, declarada, observada o inferida.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No inventar procesos internos de una minera. Si no hay fuente pública o entrevista, declarar el vacío.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Separar requisito común de configuración particular de un contrato.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Mantener aislamiento entre empresas, contratos y centros de costo.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Aplicar mínimo privilegio y autorización de servidor; ocultar pestañas no sustituye el control de acceso.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Registrar toda aprobación, rechazo, cambio de estado y modificación económica en un log inmutable.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No vincular automáticamente el pago fijo del contrato con cada viaje o prestación. El uso mide eficiencia; solo afecta el pago si la cláusula contractual lo establece.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Ningún agente puede publicar, contratar servicios, usar datos personales reales ni desplegar a producción sin aprobación humana expresa.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Toda función propuesta debe indicar problema, usuario, evidencia, beneficio, complejidad, costo relativo y riesgo.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Si la evidencia contradice el prototipo, elevar la decisión; no alterar silenciosamente el alcance.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Modos autorizables</w:t>
      </w:r>
    </w:p>
    <w:p>
      <w:pPr>
        <w:pStyle w:val="ListBullet"/>
      </w:pPr>
      <w:r>
        <w:rPr>
          <w:rFonts w:ascii="Consolas" w:hAnsi="Consolas"/>
          <w:b w:val="0"/>
          <w:i w:val="0"/>
          <w:color w:val="16202A"/>
          <w:sz w:val="21"/>
        </w:rPr>
        <w:t>RESEARCH</w:t>
      </w:r>
      <w:r>
        <w:rPr>
          <w:rFonts w:ascii="Calibri" w:hAnsi="Calibri"/>
          <w:b w:val="0"/>
          <w:i w:val="0"/>
          <w:color w:val="16202A"/>
          <w:sz w:val="22"/>
        </w:rPr>
        <w:t>: buscar y sintetizar evidencia; no programar.</w:t>
      </w:r>
    </w:p>
    <w:p>
      <w:pPr>
        <w:pStyle w:val="ListBullet"/>
      </w:pPr>
      <w:r>
        <w:rPr>
          <w:rFonts w:ascii="Consolas" w:hAnsi="Consolas"/>
          <w:b w:val="0"/>
          <w:i w:val="0"/>
          <w:color w:val="16202A"/>
          <w:sz w:val="21"/>
        </w:rPr>
        <w:t>DISCOVERY</w:t>
      </w:r>
      <w:r>
        <w:rPr>
          <w:rFonts w:ascii="Calibri" w:hAnsi="Calibri"/>
          <w:b w:val="0"/>
          <w:i w:val="0"/>
          <w:color w:val="16202A"/>
          <w:sz w:val="22"/>
        </w:rPr>
        <w:t>: modelar procesos y oportunidades; no programar.</w:t>
      </w:r>
    </w:p>
    <w:p>
      <w:pPr>
        <w:pStyle w:val="ListBullet"/>
      </w:pPr>
      <w:r>
        <w:rPr>
          <w:rFonts w:ascii="Consolas" w:hAnsi="Consolas"/>
          <w:b w:val="0"/>
          <w:i w:val="0"/>
          <w:color w:val="16202A"/>
          <w:sz w:val="21"/>
        </w:rPr>
        <w:t>SPEC</w:t>
      </w:r>
      <w:r>
        <w:rPr>
          <w:rFonts w:ascii="Calibri" w:hAnsi="Calibri"/>
          <w:b w:val="0"/>
          <w:i w:val="0"/>
          <w:color w:val="16202A"/>
          <w:sz w:val="22"/>
        </w:rPr>
        <w:t>: redactar requisitos y criterios; no programar.</w:t>
      </w:r>
    </w:p>
    <w:p>
      <w:pPr>
        <w:pStyle w:val="ListBullet"/>
      </w:pPr>
      <w:r>
        <w:rPr>
          <w:rFonts w:ascii="Consolas" w:hAnsi="Consolas"/>
          <w:b w:val="0"/>
          <w:i w:val="0"/>
          <w:color w:val="16202A"/>
          <w:sz w:val="21"/>
        </w:rPr>
        <w:t>BUILD</w:t>
      </w:r>
      <w:r>
        <w:rPr>
          <w:rFonts w:ascii="Calibri" w:hAnsi="Calibri"/>
          <w:b w:val="0"/>
          <w:i w:val="0"/>
          <w:color w:val="16202A"/>
          <w:sz w:val="22"/>
        </w:rPr>
        <w:t>: implementar únicamente especificaciones aprobadas.</w:t>
      </w:r>
    </w:p>
    <w:p>
      <w:pPr>
        <w:pStyle w:val="ListBullet"/>
      </w:pPr>
      <w:r>
        <w:rPr>
          <w:rFonts w:ascii="Consolas" w:hAnsi="Consolas"/>
          <w:b w:val="0"/>
          <w:i w:val="0"/>
          <w:color w:val="16202A"/>
          <w:sz w:val="21"/>
        </w:rPr>
        <w:t>VERIFY</w:t>
      </w:r>
      <w:r>
        <w:rPr>
          <w:rFonts w:ascii="Calibri" w:hAnsi="Calibri"/>
          <w:b w:val="0"/>
          <w:i w:val="0"/>
          <w:color w:val="16202A"/>
          <w:sz w:val="22"/>
        </w:rPr>
        <w:t>: probar contra criterios aprobados; no ampliar alcance.</w:t>
      </w:r>
    </w:p>
    <w:p>
      <w:r>
        <w:rPr>
          <w:rFonts w:ascii="Calibri" w:hAnsi="Calibri"/>
          <w:b w:val="0"/>
          <w:i w:val="0"/>
          <w:color w:val="16202A"/>
          <w:sz w:val="22"/>
        </w:rPr>
        <w:t xml:space="preserve">El modo predeterminado es </w:t>
      </w:r>
      <w:r>
        <w:rPr>
          <w:rFonts w:ascii="Consolas" w:hAnsi="Consolas"/>
          <w:b w:val="0"/>
          <w:i w:val="0"/>
          <w:color w:val="16202A"/>
          <w:sz w:val="21"/>
        </w:rPr>
        <w:t>RESEARCH</w:t>
      </w:r>
      <w:r>
        <w:rPr>
          <w:rFonts w:ascii="Calibri" w:hAnsi="Calibri"/>
          <w:b w:val="0"/>
          <w:i w:val="0"/>
          <w:color w:val="16202A"/>
          <w:sz w:val="22"/>
        </w:rPr>
        <w:t xml:space="preserve">. Un cambio de modo requiere registro explícito en </w:t>
      </w:r>
      <w:r>
        <w:rPr>
          <w:rFonts w:ascii="Consolas" w:hAnsi="Consolas"/>
          <w:b w:val="0"/>
          <w:i w:val="0"/>
          <w:color w:val="16202A"/>
          <w:sz w:val="21"/>
        </w:rPr>
        <w:t>06-gobernanza/registro-aprobaciones.md</w:t>
      </w:r>
      <w:r>
        <w:rPr>
          <w:rFonts w:ascii="Calibri" w:hAnsi="Calibri"/>
          <w:b w:val="0"/>
          <w:i w:val="0"/>
          <w:color w:val="16202A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Roles internos</w:t>
      </w:r>
    </w:p>
    <w:p>
      <w:r>
        <w:rPr>
          <w:rFonts w:ascii="Calibri" w:hAnsi="Calibri"/>
          <w:b w:val="0"/>
          <w:i w:val="0"/>
          <w:color w:val="16202A"/>
          <w:sz w:val="22"/>
        </w:rPr>
        <w:t xml:space="preserve">El Supervisor coordina seis funciones especializadas descritas en </w:t>
      </w:r>
      <w:r>
        <w:rPr>
          <w:rFonts w:ascii="Consolas" w:hAnsi="Consolas"/>
          <w:b w:val="0"/>
          <w:i w:val="0"/>
          <w:color w:val="16202A"/>
          <w:sz w:val="21"/>
        </w:rPr>
        <w:t>agentes/roles.md</w:t>
      </w:r>
      <w:r>
        <w:rPr>
          <w:rFonts w:ascii="Calibri" w:hAnsi="Calibri"/>
          <w:b w:val="0"/>
          <w:i w:val="0"/>
          <w:color w:val="16202A"/>
          <w:sz w:val="22"/>
        </w:rPr>
        <w:t>. Pueden trabajar en paralelo durante investigación, pero el Supervisor es el único que consolida conclusiones, cambia estados y presenta decisiones al humano.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Protocolo spec-driven</w:t>
      </w:r>
    </w:p>
    <w:p>
      <w:r>
        <w:rPr>
          <w:rFonts w:ascii="Calibri" w:hAnsi="Calibri"/>
          <w:b w:val="0"/>
          <w:i w:val="0"/>
          <w:color w:val="16202A"/>
          <w:sz w:val="22"/>
        </w:rPr>
        <w:t xml:space="preserve">Cada capacidad nace como </w:t>
      </w:r>
      <w:r>
        <w:rPr>
          <w:rFonts w:ascii="Consolas" w:hAnsi="Consolas"/>
          <w:b w:val="0"/>
          <w:i w:val="0"/>
          <w:color w:val="16202A"/>
          <w:sz w:val="21"/>
        </w:rPr>
        <w:t>CAP-###</w:t>
      </w:r>
      <w:r>
        <w:rPr>
          <w:rFonts w:ascii="Calibri" w:hAnsi="Calibri"/>
          <w:b w:val="0"/>
          <w:i w:val="0"/>
          <w:color w:val="16202A"/>
          <w:sz w:val="22"/>
        </w:rPr>
        <w:t xml:space="preserve">, se vincula con hallazgos </w:t>
      </w:r>
      <w:r>
        <w:rPr>
          <w:rFonts w:ascii="Consolas" w:hAnsi="Consolas"/>
          <w:b w:val="0"/>
          <w:i w:val="0"/>
          <w:color w:val="16202A"/>
          <w:sz w:val="21"/>
        </w:rPr>
        <w:t>H-###</w:t>
      </w:r>
      <w:r>
        <w:rPr>
          <w:rFonts w:ascii="Calibri" w:hAnsi="Calibri"/>
          <w:b w:val="0"/>
          <w:i w:val="0"/>
          <w:color w:val="16202A"/>
          <w:sz w:val="22"/>
        </w:rPr>
        <w:t xml:space="preserve">, se convierte en requisito </w:t>
      </w:r>
      <w:r>
        <w:rPr>
          <w:rFonts w:ascii="Consolas" w:hAnsi="Consolas"/>
          <w:b w:val="0"/>
          <w:i w:val="0"/>
          <w:color w:val="16202A"/>
          <w:sz w:val="21"/>
        </w:rPr>
        <w:t>REQ-###</w:t>
      </w:r>
      <w:r>
        <w:rPr>
          <w:rFonts w:ascii="Calibri" w:hAnsi="Calibri"/>
          <w:b w:val="0"/>
          <w:i w:val="0"/>
          <w:color w:val="16202A"/>
          <w:sz w:val="22"/>
        </w:rPr>
        <w:t xml:space="preserve">, se desarrolla bajo una especificación </w:t>
      </w:r>
      <w:r>
        <w:rPr>
          <w:rFonts w:ascii="Consolas" w:hAnsi="Consolas"/>
          <w:b w:val="0"/>
          <w:i w:val="0"/>
          <w:color w:val="16202A"/>
          <w:sz w:val="21"/>
        </w:rPr>
        <w:t>SPEC-###</w:t>
      </w:r>
      <w:r>
        <w:rPr>
          <w:rFonts w:ascii="Calibri" w:hAnsi="Calibri"/>
          <w:b w:val="0"/>
          <w:i w:val="0"/>
          <w:color w:val="16202A"/>
          <w:sz w:val="22"/>
        </w:rPr>
        <w:t xml:space="preserve"> y se valida con pruebas </w:t>
      </w:r>
      <w:r>
        <w:rPr>
          <w:rFonts w:ascii="Consolas" w:hAnsi="Consolas"/>
          <w:b w:val="0"/>
          <w:i w:val="0"/>
          <w:color w:val="16202A"/>
          <w:sz w:val="21"/>
        </w:rPr>
        <w:t>AC-###</w:t>
      </w:r>
      <w:r>
        <w:rPr>
          <w:rFonts w:ascii="Calibri" w:hAnsi="Calibri"/>
          <w:b w:val="0"/>
          <w:i w:val="0"/>
          <w:color w:val="16202A"/>
          <w:sz w:val="22"/>
        </w:rPr>
        <w:t>. No se acepta código huérfano sin estos vínculos.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Definición de terminado</w:t>
      </w:r>
    </w:p>
    <w:p>
      <w:r>
        <w:rPr>
          <w:rFonts w:ascii="Calibri" w:hAnsi="Calibri"/>
          <w:b w:val="0"/>
          <w:i w:val="0"/>
          <w:color w:val="16202A"/>
          <w:sz w:val="22"/>
        </w:rPr>
        <w:t>Una fase solo termina cuando sus documentos están actualizados, las incertidumbres están explícitas, los riesgos altos tienen tratamiento y la compuerta humana quedó aprobada. “Funciona en demo” no equivale a “listo para piloto”.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E29A0C"/>
          <w:sz w:val="22"/>
        </w:rPr>
        <w:t>03</w:t>
      </w:r>
    </w:p>
    <w:p>
      <w:pPr>
        <w:spacing w:after="240"/>
      </w:pPr>
      <w:r>
        <w:rPr>
          <w:rFonts w:ascii="Calibri" w:hAnsi="Calibri"/>
          <w:b/>
          <w:i w:val="0"/>
          <w:color w:val="16202A"/>
          <w:sz w:val="44"/>
        </w:rPr>
        <w:t>Visión y alcance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Problema</w:t>
      </w:r>
    </w:p>
    <w:p>
      <w:r>
        <w:rPr>
          <w:rFonts w:ascii="Calibri" w:hAnsi="Calibri"/>
          <w:b w:val="0"/>
          <w:i w:val="0"/>
          <w:color w:val="16202A"/>
          <w:sz w:val="22"/>
        </w:rPr>
        <w:t>En contratos operacionales participan mandantes, contratistas, trabajadores, supervisores y administradores. Las reservas, confirmaciones, recursos adicionales, evidencias, autorizaciones, desempeño y cierres económicos suelen quedar dispersos. Esto dificulta saber qué se solicitó, qué se prestó, por qué se usó capacidad extra, qué estaba autorizado y cómo se comporta el contrato.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Visión</w:t>
      </w:r>
    </w:p>
    <w:p>
      <w:r>
        <w:rPr>
          <w:rFonts w:ascii="Calibri" w:hAnsi="Calibri"/>
          <w:b w:val="0"/>
          <w:i w:val="0"/>
          <w:color w:val="16202A"/>
          <w:sz w:val="22"/>
        </w:rPr>
        <w:t>Una plataforma única, multiempresa y modular que conecte la operación diaria con el control contractual sin confundir indicadores de uso con reglas de pago. Cada usuario ve solo las tareas y datos que le corresponden según su organización, contrato y asignación.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Decisión de producto inicial</w:t>
      </w:r>
    </w:p>
    <w:p>
      <w:r>
        <w:rPr>
          <w:rFonts w:ascii="Calibri" w:hAnsi="Calibri"/>
          <w:b w:val="0"/>
          <w:i w:val="0"/>
          <w:color w:val="16202A"/>
          <w:sz w:val="22"/>
        </w:rPr>
        <w:t>El transporte es el primer módulo y banco de pruebas. El núcleo del producto será genérico y los detalles —rutas, turnos, capacidades, tarifas, evidencias y reglas de aprobación— serán configurables por contrato.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Usuarios iniciales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6202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Usuario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6202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Necesidad principal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6202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Límite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Trabajador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Reservar/cancelar y conocer su traslado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Solo sus datos y servicios habilitados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Operador contratista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Planificar, ejecutar y acreditar el servicio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Solo contratos y recursos asignados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Supervisor mandante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Ver cumplimiento y autorizar excepciones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Solo contratos bajo su responsabilidad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Administrador de organización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Gestionar usuarios y asignaciones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Sin acceso económico automático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Gestor contractual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Configurar contrato, KPI y conciliación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Sin alterar evidencia operacional histórica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Auditor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Consultar trazabilidad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Lectura, exportación controlada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Fuera de alcance hasta nueva aprobación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Nómina, remuneraciones o asistencia laboral completa.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Facturación electrónica y contabilidad general.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Rastreo continuo de personas.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Decisiones automáticas de sanción, rechazo o pago sin revisión humana.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Integraciones específicas antes de validar procesos y datos.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Indicadores de éxito del piloto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Trazabilidad completa de solicitud a cierre.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Disminución de coordinación manual y doble digitación.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Evidencia suficiente para explicar servicios adicionales.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Datos separados y seguros por organización/contrato.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Tiempo de adopción razonable para trabajador y operador.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Costo de implantación proporcional al ahorro o riesgo reducido.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E29A0C"/>
          <w:sz w:val="22"/>
        </w:rPr>
        <w:t>04</w:t>
      </w:r>
    </w:p>
    <w:p>
      <w:pPr>
        <w:spacing w:after="240"/>
      </w:pPr>
      <w:r>
        <w:rPr>
          <w:rFonts w:ascii="Calibri" w:hAnsi="Calibri"/>
          <w:b/>
          <w:i w:val="0"/>
          <w:color w:val="16202A"/>
          <w:sz w:val="44"/>
        </w:rPr>
        <w:t>Inventario del MVP actual</w:t>
      </w:r>
    </w:p>
    <w:p>
      <w:r>
        <w:rPr>
          <w:rFonts w:ascii="Calibri" w:hAnsi="Calibri"/>
          <w:b w:val="0"/>
          <w:i w:val="0"/>
          <w:color w:val="16202A"/>
          <w:sz w:val="22"/>
        </w:rPr>
        <w:t xml:space="preserve">Fuente revisada: </w:t>
      </w:r>
      <w:r>
        <w:rPr>
          <w:rFonts w:ascii="Consolas" w:hAnsi="Consolas"/>
          <w:b w:val="0"/>
          <w:i w:val="0"/>
          <w:color w:val="16202A"/>
          <w:sz w:val="21"/>
        </w:rPr>
        <w:t>index(1).html</w:t>
      </w:r>
      <w:r>
        <w:rPr>
          <w:rFonts w:ascii="Calibri" w:hAnsi="Calibri"/>
          <w:b w:val="0"/>
          <w:i w:val="0"/>
          <w:color w:val="16202A"/>
          <w:sz w:val="22"/>
        </w:rPr>
        <w:t>, MVP v2, aplicación autónoma en navegador.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Capacidades presentes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Organizaciones mandante y contratista.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Usuarios y asignaciones de rol por contrato.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Interfaces diferentes para trabajador, contratista, mandante y administrador.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Reserva y cancelación de traslados.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Rutas, paradas, salidas, cupos y jornada nocturna.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Solicitud, autorización, rechazo y observación de vehículos extra.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Evidencia de patente, salida y manifiesto.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Panel contractual con ocupación y costos informativos.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Conciliación mensual: monto fijo más extras respaldados.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Auditoría de acciones y accesos denegados.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Punto central de permisos (</w:t>
      </w:r>
      <w:r>
        <w:rPr>
          <w:rFonts w:ascii="Consolas" w:hAnsi="Consolas"/>
          <w:b w:val="0"/>
          <w:i w:val="0"/>
          <w:color w:val="16202A"/>
          <w:sz w:val="21"/>
        </w:rPr>
        <w:t>requirePermission</w:t>
      </w:r>
      <w:r>
        <w:rPr>
          <w:rFonts w:ascii="Calibri" w:hAnsi="Calibri"/>
          <w:b w:val="0"/>
          <w:i w:val="0"/>
          <w:color w:val="16202A"/>
          <w:sz w:val="22"/>
        </w:rPr>
        <w:t>).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Decisiones correctas que deben preservarse como hipótesis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Los roles los asigna la administración; no los elige el usuario.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Las vistas dependen del contexto contractual del usuario.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El valor fijo mensual no cambia por el nivel de uso salvo cláusula expresa.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Un servicio extra requiere causal, autorización y evidencia.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Los indicadores operacionales no sustituyen la conciliación contractual.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Limitaciones antes de piloto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 xml:space="preserve">Estado, usuarios y datos persisten solo en </w:t>
      </w:r>
      <w:r>
        <w:rPr>
          <w:rFonts w:ascii="Consolas" w:hAnsi="Consolas"/>
          <w:b w:val="0"/>
          <w:i w:val="0"/>
          <w:color w:val="16202A"/>
          <w:sz w:val="21"/>
        </w:rPr>
        <w:t>localStorage</w:t>
      </w:r>
      <w:r>
        <w:rPr>
          <w:rFonts w:ascii="Calibri" w:hAnsi="Calibri"/>
          <w:b w:val="0"/>
          <w:i w:val="0"/>
          <w:color w:val="16202A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La autorización ocurre en el navegador y no protege datos reales.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Hay un único contrato y una semilla ficticia.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No existe identidad empresarial, SSO, MFA ni ciclo de alta/baja real.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No hay base de datos, API, cola, almacenamiento documental ni integración.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Las fechas, tarifas, rutas, capacidades y reglas están codificadas.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No existe gestión formal de versiones contractuales ni vigencia de reglas.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La auditoría no es inmutable ni está protegida contra manipulación.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Falta modelar privacidad, retención, respaldo, continuidad y respuesta a incidentes.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Regla de uso</w:t>
      </w:r>
    </w:p>
    <w:p>
      <w:r>
        <w:rPr>
          <w:rFonts w:ascii="Calibri" w:hAnsi="Calibri"/>
          <w:b w:val="0"/>
          <w:i w:val="0"/>
          <w:color w:val="16202A"/>
          <w:sz w:val="22"/>
        </w:rPr>
        <w:t>El MVP sirve para validar lenguaje, flujo y experiencia. No debe evolucionar directamente a producción; la implementación nueva comienza desde especificaciones aprobadas y puede reutilizar componentes visuales cuando superen la validación.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E29A0C"/>
          <w:sz w:val="22"/>
        </w:rPr>
        <w:t>05</w:t>
      </w:r>
    </w:p>
    <w:p>
      <w:pPr>
        <w:spacing w:after="240"/>
      </w:pPr>
      <w:r>
        <w:rPr>
          <w:rFonts w:ascii="Calibri" w:hAnsi="Calibri"/>
          <w:b/>
          <w:i w:val="0"/>
          <w:color w:val="16202A"/>
          <w:sz w:val="44"/>
        </w:rPr>
        <w:t>Plan de investigación profunda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Pregunta decisional</w:t>
      </w:r>
    </w:p>
    <w:p>
      <w:r>
        <w:rPr>
          <w:rFonts w:ascii="Calibri" w:hAnsi="Calibri"/>
          <w:b w:val="0"/>
          <w:i w:val="0"/>
          <w:color w:val="16202A"/>
          <w:sz w:val="22"/>
        </w:rPr>
        <w:t>¿Qué prácticas y componentes tecnológicos ya funcionan en minería y servicios intensivos en contratistas, y cuáles conviene adaptar para una plataforma multiempresa de costo relativo, comenzando por transporte de trabajadores en Antofagasta?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Líneas de investigación</w:t>
      </w:r>
    </w:p>
    <w:p>
      <w:pPr>
        <w:pStyle w:val="Heading3"/>
      </w:pPr>
      <w:r>
        <w:rPr>
          <w:rFonts w:ascii="Calibri" w:hAnsi="Calibri"/>
          <w:b/>
          <w:i w:val="0"/>
          <w:color w:val="55636E"/>
          <w:sz w:val="24"/>
        </w:rPr>
        <w:t>L1. Operación local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Faenas de la Región de Antofagasta y sus modelos de turnos, transporte, acceso y coordinación de contratistas.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Relación mandante–contratista–subcontratista.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Programación, manifiestos, capacidad, contingencias, evidencias, KPI y cierre.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Restricciones de conectividad, dispositivos compartidos y uso en terreno.</w:t>
      </w:r>
    </w:p>
    <w:p>
      <w:pPr>
        <w:pStyle w:val="Heading3"/>
      </w:pPr>
      <w:r>
        <w:rPr>
          <w:rFonts w:ascii="Calibri" w:hAnsi="Calibri"/>
          <w:b/>
          <w:i w:val="0"/>
          <w:color w:val="55636E"/>
          <w:sz w:val="24"/>
        </w:rPr>
        <w:t>L2. Contratos y cumplimiento en Chile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Deberes aplicables a subcontratación, transporte privado/remunerado según corresponda, seguridad y salud, privacidad y ciberseguridad.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Evidencia contractual, segregación de funciones, retención y auditoría.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Estándares y requisitos públicos de proveedores de compañías mineras.</w:t>
      </w:r>
    </w:p>
    <w:p>
      <w:pPr>
        <w:pStyle w:val="Heading3"/>
      </w:pPr>
      <w:r>
        <w:rPr>
          <w:rFonts w:ascii="Calibri" w:hAnsi="Calibri"/>
          <w:b/>
          <w:i w:val="0"/>
          <w:color w:val="55636E"/>
          <w:sz w:val="24"/>
        </w:rPr>
        <w:t>L3. Referencias internacionales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Australia: FIFO/DIDO, camp/transport logistics y contractor management.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Canadá: operaciones remotas, camp workforce y seguridad del contratista.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Perú: transporte y control de contratistas en gran minería andina.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Sudáfrica/EE. UU.: solo para cerrar vacíos relevantes.</w:t>
      </w:r>
    </w:p>
    <w:p>
      <w:pPr>
        <w:pStyle w:val="Heading3"/>
      </w:pPr>
      <w:r>
        <w:rPr>
          <w:rFonts w:ascii="Calibri" w:hAnsi="Calibri"/>
          <w:b/>
          <w:i w:val="0"/>
          <w:color w:val="55636E"/>
          <w:sz w:val="24"/>
        </w:rPr>
        <w:t>L4. Productos existentes y patrones reutilizables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Contractor management, workforce logistics, journey management, fleet/dispatch, procurement/contract lifecycle management y field service.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Distinguir comprar, integrar, configurar y construir.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Comparar licencias, esfuerzo de implantación, dependencia del proveedor, localización, APIs y capacidad offline.</w:t>
      </w:r>
    </w:p>
    <w:p>
      <w:pPr>
        <w:pStyle w:val="Heading3"/>
      </w:pPr>
      <w:r>
        <w:rPr>
          <w:rFonts w:ascii="Calibri" w:hAnsi="Calibri"/>
          <w:b/>
          <w:i w:val="0"/>
          <w:color w:val="55636E"/>
          <w:sz w:val="24"/>
        </w:rPr>
        <w:t>L5. Economía y adopción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Costos visibles y ocultos.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Ahorro por reducción de coordinación, sobredemanda, extras no respaldados y tiempo de conciliación.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Viabilidad para piloto de una operación y expansión multicontrato.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Fuentes prioritarias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Normativa, autoridades, estándares y documentación oficial vigente.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Portales y manuales públicos de proveedores de mineras/contratistas.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Documentación técnica y contractual de productos existentes.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Casos de estudio con cliente identificable y métricas verificables.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Entrevistas semiestructuradas con usuarios locales.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Fuentes secundarias solo para contexto o descubrimiento.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Entregables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 xml:space="preserve">Mapa </w:t>
      </w:r>
      <w:r>
        <w:rPr>
          <w:rFonts w:ascii="Consolas" w:hAnsi="Consolas"/>
          <w:b w:val="0"/>
          <w:i w:val="0"/>
          <w:color w:val="16202A"/>
          <w:sz w:val="21"/>
        </w:rPr>
        <w:t>as-is</w:t>
      </w:r>
      <w:r>
        <w:rPr>
          <w:rFonts w:ascii="Calibri" w:hAnsi="Calibri"/>
          <w:b w:val="0"/>
          <w:i w:val="0"/>
          <w:color w:val="16202A"/>
          <w:sz w:val="22"/>
        </w:rPr>
        <w:t xml:space="preserve"> por actor y proceso.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Matriz comparativa Chile/internacional.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Catálogo de soluciones existentes y análisis comprar/configurar/construir.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Hallazgos trazables, contradicciones y vacíos.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Recomendación de producto, arquitectura y piloto.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Backlog priorizado por valor, costo, riesgo y evidencia.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Criterio de cierre</w:t>
      </w:r>
    </w:p>
    <w:p>
      <w:r>
        <w:rPr>
          <w:rFonts w:ascii="Calibri" w:hAnsi="Calibri"/>
          <w:b w:val="0"/>
          <w:i w:val="0"/>
          <w:color w:val="16202A"/>
          <w:sz w:val="22"/>
        </w:rPr>
        <w:t>La investigación se cierra cuando cada decisión de alto impacto tiene fuente primaria o limitación explícita, los conflictos importantes están resueltos/acotados y una búsqueda adicional probablemente no cambiaría la recomendación.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E29A0C"/>
          <w:sz w:val="22"/>
        </w:rPr>
        <w:t>06</w:t>
      </w:r>
    </w:p>
    <w:p>
      <w:pPr>
        <w:spacing w:after="240"/>
      </w:pPr>
      <w:r>
        <w:rPr>
          <w:rFonts w:ascii="Calibri" w:hAnsi="Calibri"/>
          <w:b/>
          <w:i w:val="0"/>
          <w:color w:val="16202A"/>
          <w:sz w:val="44"/>
        </w:rPr>
        <w:t>Guía de entrevistas</w:t>
      </w:r>
    </w:p>
    <w:p>
      <w:r>
        <w:rPr>
          <w:rFonts w:ascii="Calibri" w:hAnsi="Calibri"/>
          <w:b w:val="0"/>
          <w:i w:val="0"/>
          <w:color w:val="16202A"/>
          <w:sz w:val="22"/>
        </w:rPr>
        <w:t>Entrevistar por separado a trabajador, operador/despachador, supervisor mandante, administrador de contrato y auditor/prevención. No registrar datos personales innecesarios.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Preguntas núcleo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¿Qué evento inicia el proceso y quién lo registra?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¿Qué información se vuelve a escribir en WhatsApp, Excel, correo u otro sistema?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¿Qué decisión necesita autorización y cuál es la evidencia mínima?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¿Qué ocurre cuando cambia la demanda, falla un equipo o llega una persona no registrada?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¿Cómo se acredita que el servicio se ejecutó?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¿Qué dato usa el contrato y qué dato es solo operacional?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¿Qué errores o discusiones se repiten al cierre mensual?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¿Qué puede ver cada empresa y qué no debería ver?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¿Qué sucede sin señal o con un dispositivo compartido?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¿Cuál sería una mejora valiosa que no complique el turno?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Registro</w:t>
      </w:r>
    </w:p>
    <w:p>
      <w:r>
        <w:rPr>
          <w:rFonts w:ascii="Calibri" w:hAnsi="Calibri"/>
          <w:b w:val="0"/>
          <w:i w:val="0"/>
          <w:color w:val="16202A"/>
          <w:sz w:val="22"/>
        </w:rPr>
        <w:t>Por cada entrevista crear una ficha anonimizada con: rol, contexto, proceso, cita autorizada/paráfrasis, dolor, frecuencia, impacto, solución actual, restricción y nivel de confianza. Las opiniones no se presentan como hechos generales.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E29A0C"/>
          <w:sz w:val="22"/>
        </w:rPr>
        <w:t>07</w:t>
      </w:r>
    </w:p>
    <w:p>
      <w:pPr>
        <w:spacing w:after="240"/>
      </w:pPr>
      <w:r>
        <w:rPr>
          <w:rFonts w:ascii="Calibri" w:hAnsi="Calibri"/>
          <w:b/>
          <w:i w:val="0"/>
          <w:color w:val="16202A"/>
          <w:sz w:val="44"/>
        </w:rPr>
        <w:t>Catálogo de procesos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6202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Código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6202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Proceso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6202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Inicio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6202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PR-01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Alta de organización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Contrato o invitación aprobada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Tenant configurado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PR-02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Alta y asignación de usuario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Usuario validado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Acceso limitado por organización/contrato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PR-03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Configuración contractual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Contrato vigente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Reglas versionadas y activas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PR-04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Planificación de servicio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Demanda/plan contractual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Capacidad y calendario publicados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PR-05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Solicitud/reserva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Necesidad del usuario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Cupo solicitado y trazable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PR-06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Ejecución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Servicio programado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Prestación y eventos registrados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PR-07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Excepción/extra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Brecha o contingencia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Solicitud decidida con evidencia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PR-08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Validación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Evidencias disponibles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Servicio aceptado, observado o rechazado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PR-09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Medición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Periodo operativo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KPI con denominadores claros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PR-10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Conciliación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Periodo cerrable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Cierre reproducible y aprobado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PR-11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Auditoría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Consulta/incidente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Historia íntegra y exportable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PR-12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Baja/revocación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Fin de relación o cambio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Acceso retirado sin borrar historia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16202A"/>
          <w:sz w:val="22"/>
        </w:rPr>
        <w:t xml:space="preserve">Para cada proceso se debe crear un </w:t>
      </w:r>
      <w:r>
        <w:rPr>
          <w:rFonts w:ascii="Consolas" w:hAnsi="Consolas"/>
          <w:b w:val="0"/>
          <w:i w:val="0"/>
          <w:color w:val="16202A"/>
          <w:sz w:val="21"/>
        </w:rPr>
        <w:t>as-is</w:t>
      </w:r>
      <w:r>
        <w:rPr>
          <w:rFonts w:ascii="Calibri" w:hAnsi="Calibri"/>
          <w:b w:val="0"/>
          <w:i w:val="0"/>
          <w:color w:val="16202A"/>
          <w:sz w:val="22"/>
        </w:rPr>
        <w:t xml:space="preserve">, un </w:t>
      </w:r>
      <w:r>
        <w:rPr>
          <w:rFonts w:ascii="Consolas" w:hAnsi="Consolas"/>
          <w:b w:val="0"/>
          <w:i w:val="0"/>
          <w:color w:val="16202A"/>
          <w:sz w:val="21"/>
        </w:rPr>
        <w:t>to-be</w:t>
      </w:r>
      <w:r>
        <w:rPr>
          <w:rFonts w:ascii="Calibri" w:hAnsi="Calibri"/>
          <w:b w:val="0"/>
          <w:i w:val="0"/>
          <w:color w:val="16202A"/>
          <w:sz w:val="22"/>
        </w:rPr>
        <w:t>, variantes por contrato, excepciones, datos, responsables y controles.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E29A0C"/>
          <w:sz w:val="22"/>
        </w:rPr>
        <w:t>08</w:t>
      </w:r>
    </w:p>
    <w:p>
      <w:pPr>
        <w:spacing w:after="240"/>
      </w:pPr>
      <w:r>
        <w:rPr>
          <w:rFonts w:ascii="Calibri" w:hAnsi="Calibri"/>
          <w:b/>
          <w:i w:val="0"/>
          <w:color w:val="16202A"/>
          <w:sz w:val="44"/>
        </w:rPr>
        <w:t>Brief de producto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Propuesta</w:t>
      </w:r>
    </w:p>
    <w:p>
      <w:r>
        <w:rPr>
          <w:rFonts w:ascii="Calibri" w:hAnsi="Calibri"/>
          <w:b w:val="0"/>
          <w:i w:val="0"/>
          <w:color w:val="16202A"/>
          <w:sz w:val="22"/>
        </w:rPr>
        <w:t>Una capa de control operativo-contractual que reúne a mandante y contratistas sin mezclar propiedad de datos ni autoridad. Convierte eventos diarios en evidencia y esa evidencia en control del contrato.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Núcleo común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Identidad, organizaciones y relaciones multiempresa.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Contratos y versiones de reglas.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Catálogo de servicios y recursos.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Flujos configurables de solicitud, aprobación y excepción.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Evidencias, documentos y firmas/atestaciones según necesidad.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Auditoría inmutable.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KPI operacionales y contractuales separados.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Conciliación y exportación; facturación solo por integración futura.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Estrategia de costo relativo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Reutilizar servicios administrados y estándares abiertos.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Construir el diferenciador: modelo contractual-operacional y experiencia por actor.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Integrar capacidades commodity: identidad, almacenamiento, notificaciones, analítica y mapas.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Evitar personalizaciones por cliente; usar reglas y plantillas versionadas por contrato.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Pilotear con un contrato y métricas de valor antes de ampliar módulos.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Hipótesis que la investigación debe validar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El principal valor está en excepciones y evidencia, no solo en reservar.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La unidad correcta de autorización es la asignación usuario–organización–contrato, no un rol global.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La configuración contractual puede cubrir diferencias entre faenas sin bifurcar el producto.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Un modo degradado/offline es necesario en ciertos puntos operacionales.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El mismo núcleo puede sostener servicios distintos al transporte.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E29A0C"/>
          <w:sz w:val="22"/>
        </w:rPr>
        <w:t>09</w:t>
      </w:r>
    </w:p>
    <w:p>
      <w:pPr>
        <w:spacing w:after="240"/>
      </w:pPr>
      <w:r>
        <w:rPr>
          <w:rFonts w:ascii="Calibri" w:hAnsi="Calibri"/>
          <w:b/>
          <w:i w:val="0"/>
          <w:color w:val="16202A"/>
          <w:sz w:val="44"/>
        </w:rPr>
        <w:t>Plantilla de especificación</w:t>
      </w:r>
    </w:p>
    <w:p>
      <w:r>
        <w:rPr>
          <w:rFonts w:ascii="Calibri" w:hAnsi="Calibri"/>
          <w:b w:val="0"/>
          <w:i w:val="0"/>
          <w:color w:val="16202A"/>
          <w:sz w:val="22"/>
        </w:rPr>
        <w:t>Estado: Borrador | En revisión | Aprobada | En desarrollo | Verificada | Rechazada</w:t>
      </w:r>
    </w:p>
    <w:p>
      <w:r>
        <w:rPr>
          <w:rFonts w:ascii="Calibri" w:hAnsi="Calibri"/>
          <w:b w:val="0"/>
          <w:i w:val="0"/>
          <w:color w:val="16202A"/>
          <w:sz w:val="22"/>
        </w:rPr>
        <w:t>Propietario humano: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1. Problema y resultado</w:t>
      </w:r>
    </w:p>
    <w:p>
      <w:r>
        <w:rPr>
          <w:rFonts w:ascii="Calibri" w:hAnsi="Calibri"/>
          <w:b w:val="0"/>
          <w:i w:val="0"/>
          <w:color w:val="16202A"/>
          <w:sz w:val="22"/>
        </w:rPr>
        <w:t>Problema, usuario afectado, frecuencia e impacto. Resultado medible esperado.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2. Evidencia</w:t>
      </w:r>
    </w:p>
    <w:p>
      <w:r>
        <w:rPr>
          <w:rFonts w:ascii="Calibri" w:hAnsi="Calibri"/>
          <w:b w:val="0"/>
          <w:i w:val="0"/>
          <w:color w:val="16202A"/>
          <w:sz w:val="22"/>
        </w:rPr>
        <w:t xml:space="preserve">Hallazgos vinculados: </w:t>
      </w:r>
      <w:r>
        <w:rPr>
          <w:rFonts w:ascii="Consolas" w:hAnsi="Consolas"/>
          <w:b w:val="0"/>
          <w:i w:val="0"/>
          <w:color w:val="16202A"/>
          <w:sz w:val="21"/>
        </w:rPr>
        <w:t>H-###</w:t>
      </w:r>
      <w:r>
        <w:rPr>
          <w:rFonts w:ascii="Calibri" w:hAnsi="Calibri"/>
          <w:b w:val="0"/>
          <w:i w:val="0"/>
          <w:color w:val="16202A"/>
          <w:sz w:val="22"/>
        </w:rPr>
        <w:t>. Indicar qué es hecho, inferencia o supuesto pendiente.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3. Alcance</w:t>
      </w:r>
    </w:p>
    <w:p>
      <w:r>
        <w:rPr>
          <w:rFonts w:ascii="Calibri" w:hAnsi="Calibri"/>
          <w:b w:val="0"/>
          <w:i w:val="0"/>
          <w:color w:val="16202A"/>
          <w:sz w:val="22"/>
        </w:rPr>
        <w:t>Incluido y excluido. Contratos, organizaciones, actores y variantes alcanzadas.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4. Requisitos</w:t>
      </w:r>
    </w:p>
    <w:p>
      <w:pPr>
        <w:pStyle w:val="ListBullet"/>
      </w:pPr>
      <w:r>
        <w:rPr>
          <w:rFonts w:ascii="Consolas" w:hAnsi="Consolas"/>
          <w:b w:val="0"/>
          <w:i w:val="0"/>
          <w:color w:val="16202A"/>
          <w:sz w:val="21"/>
        </w:rPr>
        <w:t>REQ-###</w:t>
      </w:r>
      <w:r>
        <w:rPr>
          <w:rFonts w:ascii="Calibri" w:hAnsi="Calibri"/>
          <w:b w:val="0"/>
          <w:i w:val="0"/>
          <w:color w:val="16202A"/>
          <w:sz w:val="22"/>
        </w:rPr>
        <w:t xml:space="preserve"> redacción verificable.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5. Reglas de negocio</w:t>
      </w:r>
    </w:p>
    <w:p>
      <w:r>
        <w:rPr>
          <w:rFonts w:ascii="Calibri" w:hAnsi="Calibri"/>
          <w:b w:val="0"/>
          <w:i w:val="0"/>
          <w:color w:val="16202A"/>
          <w:sz w:val="22"/>
        </w:rPr>
        <w:t>Estados, transiciones, vigencias, límites, precedencia de reglas y manejo de excepciones.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6. Autorización y datos</w:t>
      </w:r>
    </w:p>
    <w:p>
      <w:r>
        <w:rPr>
          <w:rFonts w:ascii="Calibri" w:hAnsi="Calibri"/>
          <w:b w:val="0"/>
          <w:i w:val="0"/>
          <w:color w:val="16202A"/>
          <w:sz w:val="22"/>
        </w:rPr>
        <w:t>Quién puede crear, leer, modificar, aprobar y exportar; alcance por organización y contrato; datos sensibles; retención; auditoría.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7. Experiencia</w:t>
      </w:r>
    </w:p>
    <w:p>
      <w:r>
        <w:rPr>
          <w:rFonts w:ascii="Calibri" w:hAnsi="Calibri"/>
          <w:b w:val="0"/>
          <w:i w:val="0"/>
          <w:color w:val="16202A"/>
          <w:sz w:val="22"/>
        </w:rPr>
        <w:t>Flujo principal, errores, operación sin conexión, accesibilidad y dispositivo objetivo.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8. Criterios de aceptación</w:t>
      </w:r>
    </w:p>
    <w:p>
      <w:pPr>
        <w:pStyle w:val="ListBullet"/>
      </w:pPr>
      <w:r>
        <w:rPr>
          <w:rFonts w:ascii="Consolas" w:hAnsi="Consolas"/>
          <w:b w:val="0"/>
          <w:i w:val="0"/>
          <w:color w:val="16202A"/>
          <w:sz w:val="21"/>
        </w:rPr>
        <w:t>AC-###</w:t>
      </w:r>
      <w:r>
        <w:rPr>
          <w:rFonts w:ascii="Calibri" w:hAnsi="Calibri"/>
          <w:b w:val="0"/>
          <w:i w:val="0"/>
          <w:color w:val="16202A"/>
          <w:sz w:val="22"/>
        </w:rPr>
        <w:t xml:space="preserve"> Dado / Cuando / Entonces.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Incluir al menos un caso autorizado, uno denegado, uno concurrente y uno de auditoría.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9. Observabilidad y métricas</w:t>
      </w:r>
    </w:p>
    <w:p>
      <w:r>
        <w:rPr>
          <w:rFonts w:ascii="Calibri" w:hAnsi="Calibri"/>
          <w:b w:val="0"/>
          <w:i w:val="0"/>
          <w:color w:val="16202A"/>
          <w:sz w:val="22"/>
        </w:rPr>
        <w:t>Eventos, KPI, alertas, responsable y denominadores.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10. Migración y reversibilidad</w:t>
      </w:r>
    </w:p>
    <w:p>
      <w:r>
        <w:rPr>
          <w:rFonts w:ascii="Calibri" w:hAnsi="Calibri"/>
          <w:b w:val="0"/>
          <w:i w:val="0"/>
          <w:color w:val="16202A"/>
          <w:sz w:val="22"/>
        </w:rPr>
        <w:t>Datos iniciales, compatibilidad, rollback y efectos sobre registros históricos.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11. Riesgos y decisiones abiertas</w:t>
      </w:r>
    </w:p>
    <w:p>
      <w:r>
        <w:rPr>
          <w:rFonts w:ascii="Calibri" w:hAnsi="Calibri"/>
          <w:b w:val="0"/>
          <w:i w:val="0"/>
          <w:color w:val="16202A"/>
          <w:sz w:val="22"/>
        </w:rPr>
        <w:t>Riesgo, probabilidad, impacto, mitigación y decisión humana requerida.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12. Aprobaciones</w:t>
      </w:r>
    </w:p>
    <w:p>
      <w:r>
        <w:rPr>
          <w:rFonts w:ascii="Calibri" w:hAnsi="Calibri"/>
          <w:b w:val="0"/>
          <w:i w:val="0"/>
          <w:color w:val="16202A"/>
          <w:sz w:val="22"/>
        </w:rPr>
        <w:t>Producto / Operación / Contrato / Seguridad-privacidad / Técnico.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E29A0C"/>
          <w:sz w:val="22"/>
        </w:rPr>
        <w:t>10</w:t>
      </w:r>
    </w:p>
    <w:p>
      <w:pPr>
        <w:spacing w:after="240"/>
      </w:pPr>
      <w:r>
        <w:rPr>
          <w:rFonts w:ascii="Calibri" w:hAnsi="Calibri"/>
          <w:b/>
          <w:i w:val="0"/>
          <w:color w:val="16202A"/>
          <w:sz w:val="44"/>
        </w:rPr>
        <w:t>Principios de arquitectura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 xml:space="preserve">Multiempresa desde el modelo de datos: </w:t>
      </w:r>
      <w:r>
        <w:rPr>
          <w:rFonts w:ascii="Consolas" w:hAnsi="Consolas"/>
          <w:b w:val="0"/>
          <w:i w:val="0"/>
          <w:color w:val="16202A"/>
          <w:sz w:val="21"/>
        </w:rPr>
        <w:t>organization</w:t>
      </w:r>
      <w:r>
        <w:rPr>
          <w:rFonts w:ascii="Calibri" w:hAnsi="Calibri"/>
          <w:b w:val="0"/>
          <w:i w:val="0"/>
          <w:color w:val="16202A"/>
          <w:sz w:val="22"/>
        </w:rPr>
        <w:t xml:space="preserve">, </w:t>
      </w:r>
      <w:r>
        <w:rPr>
          <w:rFonts w:ascii="Consolas" w:hAnsi="Consolas"/>
          <w:b w:val="0"/>
          <w:i w:val="0"/>
          <w:color w:val="16202A"/>
          <w:sz w:val="21"/>
        </w:rPr>
        <w:t>contract</w:t>
      </w:r>
      <w:r>
        <w:rPr>
          <w:rFonts w:ascii="Calibri" w:hAnsi="Calibri"/>
          <w:b w:val="0"/>
          <w:i w:val="0"/>
          <w:color w:val="16202A"/>
          <w:sz w:val="22"/>
        </w:rPr>
        <w:t xml:space="preserve">, </w:t>
      </w:r>
      <w:r>
        <w:rPr>
          <w:rFonts w:ascii="Consolas" w:hAnsi="Consolas"/>
          <w:b w:val="0"/>
          <w:i w:val="0"/>
          <w:color w:val="16202A"/>
          <w:sz w:val="21"/>
        </w:rPr>
        <w:t>membership</w:t>
      </w:r>
      <w:r>
        <w:rPr>
          <w:rFonts w:ascii="Calibri" w:hAnsi="Calibri"/>
          <w:b w:val="0"/>
          <w:i w:val="0"/>
          <w:color w:val="16202A"/>
          <w:sz w:val="22"/>
        </w:rPr>
        <w:t xml:space="preserve">, </w:t>
      </w:r>
      <w:r>
        <w:rPr>
          <w:rFonts w:ascii="Consolas" w:hAnsi="Consolas"/>
          <w:b w:val="0"/>
          <w:i w:val="0"/>
          <w:color w:val="16202A"/>
          <w:sz w:val="21"/>
        </w:rPr>
        <w:t>assignment</w:t>
      </w:r>
      <w:r>
        <w:rPr>
          <w:rFonts w:ascii="Calibri" w:hAnsi="Calibri"/>
          <w:b w:val="0"/>
          <w:i w:val="0"/>
          <w:color w:val="16202A"/>
          <w:sz w:val="22"/>
        </w:rPr>
        <w:t xml:space="preserve"> y </w:t>
      </w:r>
      <w:r>
        <w:rPr>
          <w:rFonts w:ascii="Consolas" w:hAnsi="Consolas"/>
          <w:b w:val="0"/>
          <w:i w:val="0"/>
          <w:color w:val="16202A"/>
          <w:sz w:val="21"/>
        </w:rPr>
        <w:t>scope</w:t>
      </w:r>
      <w:r>
        <w:rPr>
          <w:rFonts w:ascii="Calibri" w:hAnsi="Calibri"/>
          <w:b w:val="0"/>
          <w:i w:val="0"/>
          <w:color w:val="16202A"/>
          <w:sz w:val="22"/>
        </w:rPr>
        <w:t xml:space="preserve"> explícitos.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Un usuario puede pertenecer a varias organizaciones y tener distintas funciones por contrato.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La autorización se aplica en API y base de datos; la interfaz solo refleja permisos ya resueltos.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Reglas contractuales versionadas con fecha de vigencia; no sobrescribir historia.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Separar evento operacional, evidencia, decisión y consecuencia económica.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Auditoría append-only con actor, organización, contrato, tiempo, acción, estado anterior/nuevo y correlación.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Arquitectura modular primero; microservicios solo cuando escala, seguridad o equipos lo justifiquen.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API e integraciones idempotentes; evitar duplicar reservas, servicios o cierres.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Cola/sincronización para conectividad intermitente y conflictos explícitos.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2"/>
        </w:rPr>
        <w:t>Datos mínimos, cifrado, respaldo, recuperación y observabilidad desde el piloto.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Dominios candidatos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IAM y organizaciones.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Contratos y reglas.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Catálogo/planificación de servicios.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Solicitudes y asignaciones.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Ejecución y evidencias.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Excepciones y aprobaciones.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Medición y conciliación.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Auditoría, notificaciones e integraciones.</w:t>
      </w:r>
    </w:p>
    <w:p>
      <w:r>
        <w:rPr>
          <w:rFonts w:ascii="Calibri" w:hAnsi="Calibri"/>
          <w:b w:val="0"/>
          <w:i w:val="0"/>
          <w:color w:val="16202A"/>
          <w:sz w:val="22"/>
        </w:rPr>
        <w:t>La selección tecnológica se posterga hasta cerrar la investigación de integraciones, conectividad, residencia de datos, volumen, presupuesto y capacidades del equipo.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E29A0C"/>
          <w:sz w:val="22"/>
        </w:rPr>
        <w:t>11</w:t>
      </w:r>
    </w:p>
    <w:p>
      <w:pPr>
        <w:spacing w:after="240"/>
      </w:pPr>
      <w:r>
        <w:rPr>
          <w:rFonts w:ascii="Calibri" w:hAnsi="Calibri"/>
          <w:b/>
          <w:i w:val="0"/>
          <w:color w:val="16202A"/>
          <w:sz w:val="44"/>
        </w:rPr>
        <w:t>Compuertas de supervisión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6202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Compuerta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6202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Decide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6202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Entrada mínima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6202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Salida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G0 Alcance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Eduardo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Visión, límites, países, primer caso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Investigación autorizada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G1 Evidencia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Eduardo + referente operativo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Fuentes, entrevistas, vacíos, mapa as-is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Hallazgos aceptados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G2 Producto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Eduardo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Opciones comprar/configurar/construir, costo y riesgo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Dirección elegida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G3 Especificación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Dueño de producto + operación/contrato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SPEC y criterios de aceptación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Desarrollo autorizado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G4 Arquitectura y seguridad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Responsable técnico + seguridad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Modelo, amenazas, datos, costo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Implementación autorizada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G5 Piloto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Dueños operativo y contractual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Pruebas, migración, soporte y rollback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5F7F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Piloto controlado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G6 Producción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Dirección autorizada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Evidencia del piloto y riesgos residuales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Despliegue o iteración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Acciones que siempre requieren humano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Elegir empresa/faena piloto y comprometer a terceros.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Aprobar interpretación contractual o regulatoria.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Definir datos personales reales y periodos de retención.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Aprobar tarifas, conciliaciones, pagos o sanciones.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Seleccionar proveedor con costo o dependencia relevante.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Cambiar permisos, publicar o desplegar.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Aceptar riesgo alto o excepción de seguridad.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Política de detención</w:t>
      </w:r>
    </w:p>
    <w:p>
      <w:r>
        <w:rPr>
          <w:rFonts w:ascii="Calibri" w:hAnsi="Calibri"/>
          <w:b w:val="0"/>
          <w:i w:val="0"/>
          <w:color w:val="16202A"/>
          <w:sz w:val="22"/>
        </w:rPr>
        <w:t>El agente se detiene si faltan fuentes para una afirmación crítica, hay conflicto contractual, la identidad del aprobador no es clara, el cambio amplía materialmente el alcance o puede afectar dinero, acceso, privacidad o producción.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E29A0C"/>
          <w:sz w:val="22"/>
        </w:rPr>
        <w:t>12</w:t>
      </w:r>
    </w:p>
    <w:p>
      <w:pPr>
        <w:spacing w:after="240"/>
      </w:pPr>
      <w:r>
        <w:rPr>
          <w:rFonts w:ascii="Calibri" w:hAnsi="Calibri"/>
          <w:b/>
          <w:i w:val="0"/>
          <w:color w:val="16202A"/>
          <w:sz w:val="44"/>
        </w:rPr>
        <w:t>Registro de aprobaciones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6202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6202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6202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Fase/objeto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6202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Decisión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6202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Alternativas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6202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Motivo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6202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Aprobador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6202A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AAAA-MM-DD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DEC-001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G0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Pendiente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Eduardo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6202A"/>
                <w:sz w:val="17"/>
              </w:rPr>
              <w:t>Pendiente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E29A0C"/>
          <w:sz w:val="22"/>
        </w:rPr>
        <w:t>13</w:t>
      </w:r>
    </w:p>
    <w:p>
      <w:pPr>
        <w:spacing w:after="240"/>
      </w:pPr>
      <w:r>
        <w:rPr>
          <w:rFonts w:ascii="Calibri" w:hAnsi="Calibri"/>
          <w:b/>
          <w:i w:val="0"/>
          <w:color w:val="16202A"/>
          <w:sz w:val="44"/>
        </w:rPr>
        <w:t>Roadmap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Fase A — Investigación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Operación local y cumplimiento.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Referencias internacionales.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Soluciones existentes y costo relativo.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Entrevistas y mapa as-is.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Fase B — Definición del piloto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Elegir proceso y contrato piloto.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Definir línea base y métricas.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Resolver comprar/configurar/construir.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Aprobar modelo de datos y permisos.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Fase C — Núcleo técnico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Identidad multiempresa y asignaciones por contrato.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Contratos/reglas versionados.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Auditoría, evidencias y notificaciones.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Datos, API, observabilidad y modo de conectividad definido.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Fase D — Transporte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Planificación, reservas y capacidad.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Ejecución/manifiesto.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Excepciones/vehículos extra.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KPI y conciliación contractual.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Fase E — Piloto y expansión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Piloto controlado, soporte y rollback.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Evaluación de adopción, ahorro y riesgos.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Decidir segundo contrato o segundo módulo.</w:t>
      </w:r>
    </w:p>
    <w:p>
      <w:r>
        <w:rPr>
          <w:rFonts w:ascii="Calibri" w:hAnsi="Calibri"/>
          <w:b w:val="0"/>
          <w:i w:val="0"/>
          <w:color w:val="16202A"/>
          <w:sz w:val="22"/>
        </w:rPr>
        <w:t>No asignar fechas definitivas antes de G2 y G3.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E29A0C"/>
          <w:sz w:val="22"/>
        </w:rPr>
        <w:t>14</w:t>
      </w:r>
    </w:p>
    <w:p>
      <w:pPr>
        <w:spacing w:after="240"/>
      </w:pPr>
      <w:r>
        <w:rPr>
          <w:rFonts w:ascii="Calibri" w:hAnsi="Calibri"/>
          <w:b/>
          <w:i w:val="0"/>
          <w:color w:val="16202A"/>
          <w:sz w:val="44"/>
        </w:rPr>
        <w:t>Estrategia de validación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Capas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Reglas: estados, vigencias, capacidad, tarifas y conciliación.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Autorización: matriz positiva y negativa por organización, contrato y función.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Aislamiento: intento de acceso cruzado entre tenants y contratos.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Integridad: concurrencia, duplicados, idempotencia y cierres repetidos.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Auditoría: historia completa, actor correcto y no alteración.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Usabilidad: tareas reales en móvil y escritorio; tiempo y errores.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Resiliencia: pérdida de señal, reintentos, recuperación y respaldo.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Seguridad/privacidad: amenazas, secretos, exportaciones y retención.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Condición de piloto</w:t>
      </w:r>
    </w:p>
    <w:p>
      <w:r>
        <w:rPr>
          <w:rFonts w:ascii="Calibri" w:hAnsi="Calibri"/>
          <w:b w:val="0"/>
          <w:i w:val="0"/>
          <w:color w:val="16202A"/>
          <w:sz w:val="22"/>
        </w:rPr>
        <w:t>Todos los criterios críticos aprobados pasan; no hay vulnerabilidades altas abiertas; hay dueño de soporte, procedimiento manual alternativo, plan de reversión y métricas de éxito acordadas.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E29A0C"/>
          <w:sz w:val="22"/>
        </w:rPr>
        <w:t>15</w:t>
      </w:r>
    </w:p>
    <w:p>
      <w:pPr>
        <w:spacing w:after="240"/>
      </w:pPr>
      <w:r>
        <w:rPr>
          <w:rFonts w:ascii="Calibri" w:hAnsi="Calibri"/>
          <w:b/>
          <w:i w:val="0"/>
          <w:color w:val="16202A"/>
          <w:sz w:val="44"/>
        </w:rPr>
        <w:t>Funciones del sistema agéntico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Supervisor</w:t>
      </w:r>
    </w:p>
    <w:p>
      <w:r>
        <w:rPr>
          <w:rFonts w:ascii="Calibri" w:hAnsi="Calibri"/>
          <w:b w:val="0"/>
          <w:i w:val="0"/>
          <w:color w:val="16202A"/>
          <w:sz w:val="22"/>
        </w:rPr>
        <w:t>Mantiene el plan, controla el modo, asigna tareas, reconcilia evidencia, detecta contradicciones y solicita aprobaciones. No maquilla vacíos ni permite saltar compuertas.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Investigador Chile/Antofagasta</w:t>
      </w:r>
    </w:p>
    <w:p>
      <w:r>
        <w:rPr>
          <w:rFonts w:ascii="Calibri" w:hAnsi="Calibri"/>
          <w:b w:val="0"/>
          <w:i w:val="0"/>
          <w:color w:val="16202A"/>
          <w:sz w:val="22"/>
        </w:rPr>
        <w:t>Analiza operación, proveedores, normativa y restricciones locales. Entrega hallazgos con fuente, fecha, alcance y confianza; no infiere procesos privados sin evidencia.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Investigador internacional</w:t>
      </w:r>
    </w:p>
    <w:p>
      <w:r>
        <w:rPr>
          <w:rFonts w:ascii="Calibri" w:hAnsi="Calibri"/>
          <w:b w:val="0"/>
          <w:i w:val="0"/>
          <w:color w:val="16202A"/>
          <w:sz w:val="22"/>
        </w:rPr>
        <w:t>Busca patrones transferibles en Australia, Canadá, Perú y referencias adicionales. Explica qué depende del contexto y qué puede adaptarse a Chile.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Analista de producto y mercado</w:t>
      </w:r>
    </w:p>
    <w:p>
      <w:r>
        <w:rPr>
          <w:rFonts w:ascii="Calibri" w:hAnsi="Calibri"/>
          <w:b w:val="0"/>
          <w:i w:val="0"/>
          <w:color w:val="16202A"/>
          <w:sz w:val="22"/>
        </w:rPr>
        <w:t>Compara comprar, configurar, integrar o construir; estima costo relativo, tiempo, dependencia y ventaja diferencial. No usa material comercial como prueba única de resultados.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Analista de procesos y contratos</w:t>
      </w:r>
    </w:p>
    <w:p>
      <w:r>
        <w:rPr>
          <w:rFonts w:ascii="Calibri" w:hAnsi="Calibri"/>
          <w:b w:val="0"/>
          <w:i w:val="0"/>
          <w:color w:val="16202A"/>
          <w:sz w:val="22"/>
        </w:rPr>
        <w:t>Modela actores, estados, excepciones, evidencias, segregación de funciones y consecuencias económicas. Separa cláusula, configuración y operación.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Arquitecto/seguridad</w:t>
      </w:r>
    </w:p>
    <w:p>
      <w:r>
        <w:rPr>
          <w:rFonts w:ascii="Calibri" w:hAnsi="Calibri"/>
          <w:b w:val="0"/>
          <w:i w:val="0"/>
          <w:color w:val="16202A"/>
          <w:sz w:val="22"/>
        </w:rPr>
        <w:t>Propone arquitectura después de los requisitos; realiza modelo de amenazas, aislamiento multiempresa, privacidad, continuidad y estimación de costo.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Constructor y QA</w:t>
      </w:r>
    </w:p>
    <w:p>
      <w:r>
        <w:rPr>
          <w:rFonts w:ascii="Calibri" w:hAnsi="Calibri"/>
          <w:b w:val="0"/>
          <w:i w:val="0"/>
          <w:color w:val="16202A"/>
          <w:sz w:val="22"/>
        </w:rPr>
        <w:t>El Constructor implementa solo SPEC aprobadas. QA deriva pruebas de los AC, intenta romper permisos y reglas, y reporta resultados sin modificar criterios para hacerlos pasar.</w:t>
      </w:r>
    </w:p>
    <w:p>
      <w:pPr>
        <w:pStyle w:val="Heading2"/>
      </w:pPr>
      <w:r>
        <w:rPr>
          <w:rFonts w:ascii="Calibri" w:hAnsi="Calibri"/>
          <w:b/>
          <w:i w:val="0"/>
          <w:color w:val="16202A"/>
          <w:sz w:val="26"/>
        </w:rPr>
        <w:t>Formato obligatorio de entrega entre funciones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Objetivo y alcance.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Hallazgos/decisiones con IDs.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Evidencia y confianza.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Contradicciones y vacíos.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Impacto en producto.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Riesgos.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2"/>
        </w:rPr>
        <w:t>Próxima acción y aprobación requerida.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E29A0C"/>
          <w:sz w:val="22"/>
        </w:rPr>
        <w:t>16</w:t>
      </w:r>
    </w:p>
    <w:p>
      <w:pPr>
        <w:spacing w:after="240"/>
      </w:pPr>
      <w:r>
        <w:rPr>
          <w:rFonts w:ascii="Calibri" w:hAnsi="Calibri"/>
          <w:b/>
          <w:i w:val="0"/>
          <w:color w:val="16202A"/>
          <w:sz w:val="44"/>
        </w:rPr>
        <w:t>Prompt maestro para Work Mode</w:t>
      </w:r>
    </w:p>
    <w:p>
      <w:r>
        <w:rPr>
          <w:rFonts w:ascii="Calibri" w:hAnsi="Calibri"/>
          <w:b w:val="0"/>
          <w:i w:val="0"/>
          <w:color w:val="16202A"/>
          <w:sz w:val="22"/>
        </w:rPr>
        <w:t xml:space="preserve">Actúa como Supervisor del proyecto definido en esta carpeta. Lee primero </w:t>
      </w:r>
      <w:r>
        <w:rPr>
          <w:rFonts w:ascii="Consolas" w:hAnsi="Consolas"/>
          <w:b w:val="0"/>
          <w:i w:val="0"/>
          <w:color w:val="16202A"/>
          <w:sz w:val="21"/>
        </w:rPr>
        <w:t>AGENTS.md</w:t>
      </w:r>
      <w:r>
        <w:rPr>
          <w:rFonts w:ascii="Calibri" w:hAnsi="Calibri"/>
          <w:b w:val="0"/>
          <w:i w:val="0"/>
          <w:color w:val="16202A"/>
          <w:sz w:val="22"/>
        </w:rPr>
        <w:t xml:space="preserve">, </w:t>
      </w:r>
      <w:r>
        <w:rPr>
          <w:rFonts w:ascii="Consolas" w:hAnsi="Consolas"/>
          <w:b w:val="0"/>
          <w:i w:val="0"/>
          <w:color w:val="16202A"/>
          <w:sz w:val="21"/>
        </w:rPr>
        <w:t>00-contexto/vision-y-alcance.md</w:t>
      </w:r>
      <w:r>
        <w:rPr>
          <w:rFonts w:ascii="Calibri" w:hAnsi="Calibri"/>
          <w:b w:val="0"/>
          <w:i w:val="0"/>
          <w:color w:val="16202A"/>
          <w:sz w:val="22"/>
        </w:rPr>
        <w:t xml:space="preserve">, </w:t>
      </w:r>
      <w:r>
        <w:rPr>
          <w:rFonts w:ascii="Consolas" w:hAnsi="Consolas"/>
          <w:b w:val="0"/>
          <w:i w:val="0"/>
          <w:color w:val="16202A"/>
          <w:sz w:val="21"/>
        </w:rPr>
        <w:t>00-contexto/inventario-mvp-actual.md</w:t>
      </w:r>
      <w:r>
        <w:rPr>
          <w:rFonts w:ascii="Calibri" w:hAnsi="Calibri"/>
          <w:b w:val="0"/>
          <w:i w:val="0"/>
          <w:color w:val="16202A"/>
          <w:sz w:val="22"/>
        </w:rPr>
        <w:t xml:space="preserve">, </w:t>
      </w:r>
      <w:r>
        <w:rPr>
          <w:rFonts w:ascii="Consolas" w:hAnsi="Consolas"/>
          <w:b w:val="0"/>
          <w:i w:val="0"/>
          <w:color w:val="16202A"/>
          <w:sz w:val="21"/>
        </w:rPr>
        <w:t>01-investigacion/plan-investigacion.md</w:t>
      </w:r>
      <w:r>
        <w:rPr>
          <w:rFonts w:ascii="Calibri" w:hAnsi="Calibri"/>
          <w:b w:val="0"/>
          <w:i w:val="0"/>
          <w:color w:val="16202A"/>
          <w:sz w:val="22"/>
        </w:rPr>
        <w:t xml:space="preserve"> y </w:t>
      </w:r>
      <w:r>
        <w:rPr>
          <w:rFonts w:ascii="Consolas" w:hAnsi="Consolas"/>
          <w:b w:val="0"/>
          <w:i w:val="0"/>
          <w:color w:val="16202A"/>
          <w:sz w:val="21"/>
        </w:rPr>
        <w:t>06-gobernanza/compuertas.md</w:t>
      </w:r>
      <w:r>
        <w:rPr>
          <w:rFonts w:ascii="Calibri" w:hAnsi="Calibri"/>
          <w:b w:val="0"/>
          <w:i w:val="0"/>
          <w:color w:val="16202A"/>
          <w:sz w:val="22"/>
        </w:rPr>
        <w:t>.</w:t>
      </w:r>
    </w:p>
    <w:p>
      <w:r>
        <w:rPr>
          <w:rFonts w:ascii="Calibri" w:hAnsi="Calibri"/>
          <w:b w:val="0"/>
          <w:i w:val="0"/>
          <w:color w:val="16202A"/>
          <w:sz w:val="22"/>
        </w:rPr>
        <w:t>Tu misión es investigar a fondo prácticas actuales de gestión de contratistas, servicios y transporte de trabajadores en compañías mineras de la Región de Antofagasta, compararlas con referencias verificables de Australia, Canadá y Perú, y recomendar qué conviene comprar, configurar, integrar o construir. Después, y solo mediante aprobación humana y especificaciones trazables, crear la plataforma multiempresa.</w:t>
      </w:r>
    </w:p>
    <w:p>
      <w:r>
        <w:rPr>
          <w:rFonts w:ascii="Calibri" w:hAnsi="Calibri"/>
          <w:b w:val="0"/>
          <w:i w:val="0"/>
          <w:color w:val="16202A"/>
          <w:sz w:val="22"/>
        </w:rPr>
        <w:t xml:space="preserve">Comienza en modo </w:t>
      </w:r>
      <w:r>
        <w:rPr>
          <w:rFonts w:ascii="Consolas" w:hAnsi="Consolas"/>
          <w:b w:val="0"/>
          <w:i w:val="0"/>
          <w:color w:val="16202A"/>
          <w:sz w:val="21"/>
        </w:rPr>
        <w:t>RESEARCH</w:t>
      </w:r>
      <w:r>
        <w:rPr>
          <w:rFonts w:ascii="Calibri" w:hAnsi="Calibri"/>
          <w:b w:val="0"/>
          <w:i w:val="0"/>
          <w:color w:val="16202A"/>
          <w:sz w:val="22"/>
        </w:rPr>
        <w:t xml:space="preserve">. Antes de buscar, presenta un plan de investigación con preguntas, fuentes prioritarias, entregables y vacíos que requieran información del usuario. Mantén </w:t>
      </w:r>
      <w:r>
        <w:rPr>
          <w:rFonts w:ascii="Consolas" w:hAnsi="Consolas"/>
          <w:b w:val="0"/>
          <w:i w:val="0"/>
          <w:color w:val="16202A"/>
          <w:sz w:val="21"/>
        </w:rPr>
        <w:t>01-investigacion/matriz-evidencia.csv</w:t>
      </w:r>
      <w:r>
        <w:rPr>
          <w:rFonts w:ascii="Calibri" w:hAnsi="Calibri"/>
          <w:b w:val="0"/>
          <w:i w:val="0"/>
          <w:color w:val="16202A"/>
          <w:sz w:val="22"/>
        </w:rPr>
        <w:t>; cita cada afirmación material; distingue evidencia normativa, declarada, observada e inferida. Nunca atribuyas a una empresa un proceso interno no verificable.</w:t>
      </w:r>
    </w:p>
    <w:p>
      <w:r>
        <w:rPr>
          <w:rFonts w:ascii="Calibri" w:hAnsi="Calibri"/>
          <w:b w:val="0"/>
          <w:i w:val="0"/>
          <w:color w:val="16202A"/>
          <w:sz w:val="22"/>
        </w:rPr>
        <w:t>Al finalizar investigación, produce: mapa as-is, benchmark internacional, catálogo de soluciones, análisis comprar/configurar/construir, hipótesis validadas/refutadas, riesgos y recomendación de piloto. Detente en G1 y solicita aprobación.</w:t>
      </w:r>
    </w:p>
    <w:p>
      <w:r>
        <w:rPr>
          <w:rFonts w:ascii="Calibri" w:hAnsi="Calibri"/>
          <w:b w:val="0"/>
          <w:i w:val="0"/>
          <w:color w:val="16202A"/>
          <w:sz w:val="22"/>
        </w:rPr>
        <w:t xml:space="preserve">En modo </w:t>
      </w:r>
      <w:r>
        <w:rPr>
          <w:rFonts w:ascii="Consolas" w:hAnsi="Consolas"/>
          <w:b w:val="0"/>
          <w:i w:val="0"/>
          <w:color w:val="16202A"/>
          <w:sz w:val="21"/>
        </w:rPr>
        <w:t>SPEC</w:t>
      </w:r>
      <w:r>
        <w:rPr>
          <w:rFonts w:ascii="Calibri" w:hAnsi="Calibri"/>
          <w:b w:val="0"/>
          <w:i w:val="0"/>
          <w:color w:val="16202A"/>
          <w:sz w:val="22"/>
        </w:rPr>
        <w:t xml:space="preserve">, cada función debe usar </w:t>
      </w:r>
      <w:r>
        <w:rPr>
          <w:rFonts w:ascii="Consolas" w:hAnsi="Consolas"/>
          <w:b w:val="0"/>
          <w:i w:val="0"/>
          <w:color w:val="16202A"/>
          <w:sz w:val="21"/>
        </w:rPr>
        <w:t>04-especificaciones/PLANTILLA-SPEC.md</w:t>
      </w:r>
      <w:r>
        <w:rPr>
          <w:rFonts w:ascii="Calibri" w:hAnsi="Calibri"/>
          <w:b w:val="0"/>
          <w:i w:val="0"/>
          <w:color w:val="16202A"/>
          <w:sz w:val="22"/>
        </w:rPr>
        <w:t xml:space="preserve"> y enlazar </w:t>
      </w:r>
      <w:r>
        <w:rPr>
          <w:rFonts w:ascii="Consolas" w:hAnsi="Consolas"/>
          <w:b w:val="0"/>
          <w:i w:val="0"/>
          <w:color w:val="16202A"/>
          <w:sz w:val="21"/>
        </w:rPr>
        <w:t>H-### -&gt; REQ-### -&gt; SPEC-### -&gt; AC-###</w:t>
      </w:r>
      <w:r>
        <w:rPr>
          <w:rFonts w:ascii="Calibri" w:hAnsi="Calibri"/>
          <w:b w:val="0"/>
          <w:i w:val="0"/>
          <w:color w:val="16202A"/>
          <w:sz w:val="22"/>
        </w:rPr>
        <w:t xml:space="preserve">. Detente en G3. En modo </w:t>
      </w:r>
      <w:r>
        <w:rPr>
          <w:rFonts w:ascii="Consolas" w:hAnsi="Consolas"/>
          <w:b w:val="0"/>
          <w:i w:val="0"/>
          <w:color w:val="16202A"/>
          <w:sz w:val="21"/>
        </w:rPr>
        <w:t>BUILD</w:t>
      </w:r>
      <w:r>
        <w:rPr>
          <w:rFonts w:ascii="Calibri" w:hAnsi="Calibri"/>
          <w:b w:val="0"/>
          <w:i w:val="0"/>
          <w:color w:val="16202A"/>
          <w:sz w:val="22"/>
        </w:rPr>
        <w:t>, implementa solo especificaciones aprobadas, conserva el prototipo actual como referencia, verifica permisos en servidor y aislamiento multiempresa. Detente antes de despliegues, uso de datos reales o acciones con terceros.</w:t>
      </w:r>
    </w:p>
    <w:p>
      <w:r>
        <w:rPr>
          <w:rFonts w:ascii="Calibri" w:hAnsi="Calibri"/>
          <w:b w:val="0"/>
          <w:i w:val="0"/>
          <w:color w:val="16202A"/>
          <w:sz w:val="22"/>
        </w:rPr>
        <w:t xml:space="preserve">En cada sesión informa: modo, objetivo, archivos modificados, decisiones, riesgos, evidencia faltante y próxima aprobación. Si una instrucción contradice </w:t>
      </w:r>
      <w:r>
        <w:rPr>
          <w:rFonts w:ascii="Consolas" w:hAnsi="Consolas"/>
          <w:b w:val="0"/>
          <w:i w:val="0"/>
          <w:color w:val="16202A"/>
          <w:sz w:val="21"/>
        </w:rPr>
        <w:t>AGENTS.md</w:t>
      </w:r>
      <w:r>
        <w:rPr>
          <w:rFonts w:ascii="Calibri" w:hAnsi="Calibri"/>
          <w:b w:val="0"/>
          <w:i w:val="0"/>
          <w:color w:val="16202A"/>
          <w:sz w:val="22"/>
        </w:rPr>
        <w:t>, detente y pide decisión humana.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5636E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i w:val="0"/>
        <w:color w:val="55636E"/>
        <w:sz w:val="17"/>
      </w:rPr>
      <w:t>SISTEMA AGÉNTICO · MINERÍA Y CONTRATOS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620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620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563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agéntico supervisado para minería y contratos</dc:title>
  <dc:subject>Manual spec-driven para investigación, diseño, construcción y validación</dc:subject>
  <dc:creator>Eduardo Perrot</dc:creator>
  <cp:keywords>minería, Antofagasta, contratos, transporte, sistema agéntico, spec-driven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