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rHeight w:val="11160" w:hRule="atLeast"/>
        </w:trPr>
        <w:tc>
          <w:tcPr>
            <w:tcW w:type="dxa" w:w="4392"/>
            <w:tcMar>
              <w:top w:w="260" w:type="dxa"/>
              <w:start w:w="260" w:type="dxa"/>
              <w:bottom w:w="260" w:type="dxa"/>
              <w:end w:w="260" w:type="dxa"/>
            </w:tcMar>
            <w:shd w:fill="020204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Kicker"/>
            </w:pPr>
            <w:r>
              <w:rPr>
                <w:color w:val="FFDC5C"/>
              </w:rPr>
              <w:t>CURRENT-STATE WEIGHTED / PUBLIC WEB</w:t>
            </w:r>
          </w:p>
          <w:p>
            <w:pPr>
              <w:pStyle w:val="CoverTitle"/>
            </w:pPr>
            <w:r>
              <w:t>Dia</w:t>
              <w:br/>
              <w:t>Current Brand System</w:t>
              <w:br/>
              <w:t>&amp; Public Asset Atlas</w:t>
            </w:r>
          </w:p>
          <w:p>
            <w:pPr>
              <w:pStyle w:val="CoverDeck"/>
            </w:pPr>
            <w:r>
              <w:t>A working reference for visual language, voice, assets, motion, product storytelling, and historical lineage.</w:t>
            </w:r>
          </w:p>
          <w:p>
            <w:r>
              <w:rPr>
                <w:rFonts w:ascii="Courier New" w:hAnsi="Courier New"/>
                <w:color w:val="BDBDBD"/>
                <w:sz w:val="16"/>
              </w:rPr>
              <w:t>OBSERVED 03 AUG 2026</w:t>
              <w:br/>
              <w:t>CURRENT 78% / LINEAGE 22%</w:t>
            </w:r>
          </w:p>
        </w:tc>
        <w:tc>
          <w:tcPr>
            <w:tcW w:type="dxa" w:w="4968"/>
            <w:tcMar>
              <w:top w:w="260" w:type="dxa"/>
              <w:start w:w="260" w:type="dxa"/>
              <w:bottom w:w="260" w:type="dxa"/>
              <w:end w:w="260" w:type="dxa"/>
            </w:tcMar>
            <w:shd w:fill="020204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53492"/>
                  <wp:docPr id="1" name="Picture 1" descr="Dia homepage hero with large white Dia wordmark and a screaming human cutout on black." title="Dia homepage hero with large white Dia wordmark and a screaming human cutout on blac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8-03-current-home-her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53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val="115" w:hRule="exac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DC5C"/>
          </w:tcPr>
          <w:p/>
        </w:tc>
      </w:tr>
    </w:tbl>
    <w:p>
      <w:r>
        <w:br w:type="page"/>
      </w:r>
    </w:p>
    <w:p>
      <w:pPr>
        <w:pStyle w:val="Kicker"/>
        <w:keepNext/>
      </w:pPr>
      <w:r>
        <w:t>HOW TO READ THIS</w:t>
      </w:r>
    </w:p>
    <w:p>
      <w:pPr>
        <w:pStyle w:val="Heading1"/>
        <w:keepNext/>
      </w:pPr>
      <w:r>
        <w:t>A current brand guide with a forensic appendix</w:t>
      </w:r>
    </w:p>
    <w:p>
      <w:pPr>
        <w:pStyle w:val="Deck"/>
        <w:keepNext w:val="0"/>
      </w:pPr>
      <w:r>
        <w:t>The main body explains Dia as it exists now. The historical section is retained to show which ideas persisted, which were discarded, and where the present system came from.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200" w:type="dxa"/>
              <w:bottom w:w="150" w:type="dxa"/>
              <w:end w:w="200" w:type="dxa"/>
            </w:tcMar>
            <w:shd w:fill="FFF4C7"/>
            <w:tcBorders>
              <w:top w:val="single" w:sz="12" w:color="FFDC5C"/>
              <w:start w:val="nil"/>
              <w:bottom w:val="nil"/>
              <w:end w:val="nil"/>
            </w:tcBorders>
          </w:tcPr>
          <w:p>
            <w:pPr>
              <w:pStyle w:val="CalloutTitle"/>
            </w:pPr>
            <w:r>
              <w:rPr>
                <w:color w:val="1A1A1A"/>
              </w:rPr>
              <w:t>THE SHORT READ</w:t>
            </w:r>
          </w:p>
          <w:p>
            <w:pPr>
              <w:spacing w:after="0"/>
            </w:pPr>
            <w:r>
              <w:t>Dia has moved from explaining an AI browser to dramatizing a better workday. The brand now makes a conspicuous emotional promise, then proves it through calm editorial outputs, browser-native context, and an unusually authored release culture.</w:t>
            </w:r>
          </w:p>
        </w:tc>
      </w:tr>
    </w:tbl>
    <w:p>
      <w:pPr>
        <w:spacing w:after="0"/>
      </w:pPr>
    </w:p>
    <w:p>
      <w:pPr>
        <w:pStyle w:val="Heading2"/>
      </w:pPr>
      <w:r>
        <w:t>Collection boundary</w:t>
      </w:r>
    </w:p>
    <w:p>
      <w:pPr>
        <w:pStyle w:val="ListBullet"/>
        <w:spacing w:after="80" w:line="300" w:lineRule="auto"/>
        <w:ind w:left="540" w:hanging="271"/>
      </w:pPr>
      <w:r>
        <w:t>Current public HTML and CSS across the main brand, product, work, students, skills, security, release-notes, Windows, and Reports surfaces.</w:t>
      </w:r>
    </w:p>
    <w:p>
      <w:pPr>
        <w:pStyle w:val="ListBullet"/>
        <w:spacing w:after="80" w:line="300" w:lineRule="auto"/>
        <w:ind w:left="540" w:hanging="271"/>
      </w:pPr>
      <w:r>
        <w:t>Public Sanity content and asset records, including images, Mux video references, downloadable animation files, skills, packs, and release systems.</w:t>
      </w:r>
    </w:p>
    <w:p>
      <w:pPr>
        <w:pStyle w:val="ListBullet"/>
        <w:spacing w:after="80" w:line="300" w:lineRule="auto"/>
        <w:ind w:left="540" w:hanging="271"/>
      </w:pPr>
      <w:r>
        <w:t>A deduplicated Wayback capture index from 2024–2026 plus selected rendered moments at major brand transitions.</w:t>
      </w:r>
    </w:p>
    <w:p>
      <w:pPr>
        <w:pStyle w:val="ListBullet"/>
        <w:spacing w:after="80" w:line="300" w:lineRule="auto"/>
        <w:ind w:left="540" w:hanging="271"/>
      </w:pPr>
      <w:r>
        <w:t>A filtered language corpus of brand pages and release communication, excluding the internal-looking public test article.</w:t>
      </w:r>
    </w:p>
    <w:p>
      <w:pPr>
        <w:pStyle w:val="Heading2"/>
      </w:pPr>
      <w:r>
        <w:t>What this is not</w:t>
      </w:r>
    </w:p>
    <w:p>
      <w:pPr>
        <w:spacing w:after="200"/>
      </w:pPr>
      <w:r>
        <w:t>This is not an official brand book and it does not grant reuse rights. It cannot recover authenticated, unpublished, privately held, deleted, or robots-blocked material. Fonts and third-party art are identified for reference; licensed binaries are not redistributed.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50" w:type="dxa"/>
              <w:start w:w="150" w:type="dxa"/>
              <w:bottom w:w="150" w:type="dxa"/>
              <w:end w:w="150" w:type="dxa"/>
            </w:tcMar>
            <w:shd w:fill="F8F8F8"/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1A1A1A"/>
                <w:sz w:val="38"/>
              </w:rPr>
              <w:t>304</w:t>
            </w:r>
          </w:p>
          <w:p>
            <w:pPr>
              <w:spacing w:after="0"/>
              <w:jc w:val="center"/>
            </w:pPr>
            <w:r>
              <w:rPr>
                <w:color w:val="5D5D5D"/>
                <w:sz w:val="17"/>
              </w:rPr>
              <w:t>public content documents</w:t>
            </w:r>
          </w:p>
        </w:tc>
        <w:tc>
          <w:tcPr>
            <w:tcW w:type="dxa" w:w="3120"/>
            <w:tcMar>
              <w:top w:w="150" w:type="dxa"/>
              <w:start w:w="150" w:type="dxa"/>
              <w:bottom w:w="150" w:type="dxa"/>
              <w:end w:w="150" w:type="dxa"/>
            </w:tcMar>
            <w:shd w:fill="F8F8F8"/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1A1A1A"/>
                <w:sz w:val="38"/>
              </w:rPr>
              <w:t>875</w:t>
            </w:r>
          </w:p>
          <w:p>
            <w:pPr>
              <w:spacing w:after="0"/>
              <w:jc w:val="center"/>
            </w:pPr>
            <w:r>
              <w:rPr>
                <w:color w:val="5D5D5D"/>
                <w:sz w:val="17"/>
              </w:rPr>
              <w:t>public image-asset records</w:t>
            </w:r>
          </w:p>
        </w:tc>
        <w:tc>
          <w:tcPr>
            <w:tcW w:type="dxa" w:w="3120"/>
            <w:tcMar>
              <w:top w:w="150" w:type="dxa"/>
              <w:start w:w="150" w:type="dxa"/>
              <w:bottom w:w="150" w:type="dxa"/>
              <w:end w:w="150" w:type="dxa"/>
            </w:tcMar>
            <w:shd w:fill="F8F8F8"/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1A1A1A"/>
                <w:sz w:val="38"/>
              </w:rPr>
              <w:t>263</w:t>
            </w:r>
          </w:p>
          <w:p>
            <w:pPr>
              <w:spacing w:after="0"/>
              <w:jc w:val="center"/>
            </w:pPr>
            <w:r>
              <w:rPr>
                <w:color w:val="5D5D5D"/>
                <w:sz w:val="17"/>
              </w:rPr>
              <w:t>Mux video-asset records</w:t>
            </w:r>
          </w:p>
        </w:tc>
      </w:tr>
      <w:tr>
        <w:tc>
          <w:tcPr>
            <w:tcW w:type="dxa" w:w="3120"/>
            <w:tcMar>
              <w:top w:w="150" w:type="dxa"/>
              <w:start w:w="150" w:type="dxa"/>
              <w:bottom w:w="150" w:type="dxa"/>
              <w:end w:w="150" w:type="dxa"/>
            </w:tcMar>
            <w:shd w:fill="F8F8F8"/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1A1A1A"/>
                <w:sz w:val="38"/>
              </w:rPr>
              <w:t>7,902</w:t>
            </w:r>
          </w:p>
          <w:p>
            <w:pPr>
              <w:spacing w:after="0"/>
              <w:jc w:val="center"/>
            </w:pPr>
            <w:r>
              <w:rPr>
                <w:color w:val="5D5D5D"/>
                <w:sz w:val="17"/>
              </w:rPr>
              <w:t>deduplicated Wayback records</w:t>
            </w:r>
          </w:p>
        </w:tc>
        <w:tc>
          <w:tcPr>
            <w:tcW w:type="dxa" w:w="3120"/>
            <w:tcMar>
              <w:top w:w="150" w:type="dxa"/>
              <w:start w:w="150" w:type="dxa"/>
              <w:bottom w:w="150" w:type="dxa"/>
              <w:end w:w="150" w:type="dxa"/>
            </w:tcMar>
            <w:shd w:fill="F8F8F8"/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1A1A1A"/>
                <w:sz w:val="38"/>
              </w:rPr>
              <w:t>563</w:t>
            </w:r>
          </w:p>
          <w:p>
            <w:pPr>
              <w:spacing w:after="0"/>
              <w:jc w:val="center"/>
            </w:pPr>
            <w:r>
              <w:rPr>
                <w:color w:val="5D5D5D"/>
                <w:sz w:val="17"/>
              </w:rPr>
              <w:t>downloaded image previews</w:t>
            </w:r>
          </w:p>
        </w:tc>
        <w:tc>
          <w:tcPr>
            <w:tcW w:type="dxa" w:w="3120"/>
            <w:tcMar>
              <w:top w:w="150" w:type="dxa"/>
              <w:start w:w="150" w:type="dxa"/>
              <w:bottom w:w="150" w:type="dxa"/>
              <w:end w:w="150" w:type="dxa"/>
            </w:tcMar>
            <w:shd w:fill="F8F8F8"/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1A1A1A"/>
                <w:sz w:val="38"/>
              </w:rPr>
              <w:t>~395 MB</w:t>
            </w:r>
          </w:p>
          <w:p>
            <w:pPr>
              <w:spacing w:after="0"/>
              <w:jc w:val="center"/>
            </w:pPr>
            <w:r>
              <w:rPr>
                <w:color w:val="5D5D5D"/>
                <w:sz w:val="17"/>
              </w:rPr>
              <w:t>reference archive on disk</w:t>
            </w:r>
          </w:p>
        </w:tc>
      </w:tr>
    </w:tbl>
    <w:p>
      <w:r>
        <w:br w:type="page"/>
      </w:r>
    </w:p>
    <w:p>
      <w:pPr>
        <w:pStyle w:val="Kicker"/>
        <w:keepNext/>
      </w:pPr>
      <w:r>
        <w:t>01 / NOW</w:t>
      </w:r>
    </w:p>
    <w:p>
      <w:pPr>
        <w:pStyle w:val="Heading1"/>
        <w:keepNext/>
      </w:pPr>
      <w:r>
        <w:t>The current brand in one sentence</w:t>
      </w:r>
    </w:p>
    <w:p>
      <w:pPr>
        <w:pStyle w:val="Deck"/>
        <w:keepNext w:val="0"/>
      </w:pPr>
      <w:r>
        <w:t>Dia sells relief from the fragmented workday: the browser carries context across tabs, turns it into useful synthesis, and gives the user a calmer sense of readiness.</w:t>
      </w:r>
    </w:p>
    <w:p>
      <w:pPr>
        <w:pStyle w:val="Heading2"/>
      </w:pPr>
      <w:r>
        <w:t>The present hierarchy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ORDER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JOB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CURRENT EXPRESSION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Emotional tension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Dread, hunting, prep, fragmentation, doing it alone.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Browser-native advantage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Dia can see the context already distributed across tabs and work surfaces.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Useful synthesis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Briefs, reports, notes, answers, memory, and meeting readiness.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Human resolution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Start ahead; show up; move faster; have a better day.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Trust layer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Privacy, control, security, company readiness, and clear provenance.</w:t>
            </w:r>
          </w:p>
        </w:tc>
      </w:tr>
    </w:tbl>
    <w:p>
      <w:pPr>
        <w:spacing w:after="0"/>
      </w:pPr>
    </w:p>
    <w:p>
      <w:pPr>
        <w:pStyle w:val="Heading2"/>
      </w:pPr>
      <w:r>
        <w:t>Why it feels different from generic AI marketing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The homepage</w:t>
      </w:r>
      <w:r>
        <w:t xml:space="preserve"> leads with emotion rather than model capability.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AI</w:t>
      </w:r>
      <w:r>
        <w:t xml:space="preserve"> is explained through continuity and outputs, not spectacle or futurist vocabulary.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The interface</w:t>
      </w:r>
      <w:r>
        <w:t xml:space="preserve"> is quiet enough to make the authored content—not the chrome—the hero.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Dia</w:t>
      </w:r>
      <w:r>
        <w:t xml:space="preserve"> repeatedly describes ordinary work: tabs, meetings, groups, reports, context, and the day ahead.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200" w:type="dxa"/>
              <w:bottom w:w="150" w:type="dxa"/>
              <w:end w:w="200" w:type="dxa"/>
            </w:tcMar>
            <w:shd w:fill="FFF4C7"/>
            <w:tcBorders>
              <w:top w:val="single" w:sz="12" w:color="FFDC5C"/>
              <w:start w:val="nil"/>
              <w:bottom w:val="nil"/>
              <w:end w:val="nil"/>
            </w:tcBorders>
          </w:tcPr>
          <w:p>
            <w:pPr>
              <w:pStyle w:val="CalloutTitle"/>
            </w:pPr>
            <w:r>
              <w:rPr>
                <w:color w:val="1A1A1A"/>
              </w:rPr>
              <w:t>CURRENT BRAND AXIS</w:t>
            </w:r>
          </w:p>
          <w:p>
            <w:pPr>
              <w:spacing w:after="0"/>
            </w:pPr>
            <w:r>
              <w:t>Raw emotion ↔ calm competence. Dia earns memorability with the first half and trust with the second.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  <w:keepNext/>
      </w:pPr>
      <w:r>
        <w:t>02 / HOMEPAGE</w:t>
      </w:r>
    </w:p>
    <w:p>
      <w:pPr>
        <w:pStyle w:val="Heading1"/>
        <w:keepNext/>
      </w:pPr>
      <w:r>
        <w:t>One loud idea, then authored proof</w:t>
      </w:r>
    </w:p>
    <w:p>
      <w:pPr>
        <w:pStyle w:val="Deck"/>
        <w:keepNext w:val="0"/>
      </w:pPr>
      <w:r>
        <w:t>The current homepage behaves like an emotional cold open followed by an editorial product demonstration.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321674" cy="5440680"/>
            <wp:docPr id="2" name="Picture 2" descr="Dia homepage showing a designed Friday Brief report inside a browser frame." title="Dia homepage showing a designed Friday Brief report inside a browser fra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3-current-home-scroll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1674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1. Current homepage after the hero: an authored “Friday Brief” inside browser chrome. Source: current Dia homepage, observed 2026-08-03.</w:t>
      </w:r>
    </w:p>
    <w:p>
      <w:r>
        <w:rPr>
          <w:b/>
        </w:rPr>
        <w:t xml:space="preserve">Read: </w:t>
      </w:r>
      <w:r>
        <w:t>The product claim becomes credible when it is embodied as a designed artifact. The landscape illustration, vertical date, report typography, and browser frame make synthesis feel authored rather than autogenerated.</w:t>
      </w:r>
    </w:p>
    <w:p>
      <w:r>
        <w:br w:type="page"/>
      </w:r>
    </w:p>
    <w:p>
      <w:pPr>
        <w:pStyle w:val="Kicker"/>
        <w:keepNext/>
      </w:pPr>
      <w:r>
        <w:t>02 / HOMEPAGE</w:t>
      </w:r>
    </w:p>
    <w:p>
      <w:pPr>
        <w:pStyle w:val="Heading1"/>
        <w:keepNext/>
      </w:pPr>
      <w:r>
        <w:t>The scroll choreography is the argument</w:t>
      </w:r>
    </w:p>
    <w:p>
      <w:pPr>
        <w:pStyle w:val="Deck"/>
        <w:keepNext w:val="0"/>
      </w:pPr>
      <w:r>
        <w:t>Dia stages the product as a sequence of situations, not a grid of equal-weight features.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4201491"/>
            <wp:docPr id="3" name="Picture 3" descr="Dia homepage use-case navigator with a browser screenshot and workday headline." title="Dia homepage use-case navigator with a browser screenshot and workday headl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3-current-home-scroll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01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2. Current homepage use-case navigator: one active story, one product frame, one transition toward the broader work promise.</w:t>
      </w:r>
    </w:p>
    <w:p>
      <w:pPr>
        <w:pStyle w:val="Heading2"/>
      </w:pPr>
      <w:r>
        <w:t>Observed sequence</w:t>
      </w:r>
    </w:p>
    <w:p>
      <w:pPr>
        <w:pStyle w:val="ListNumber"/>
        <w:spacing w:after="80" w:line="300" w:lineRule="auto"/>
        <w:ind w:left="540" w:hanging="271"/>
      </w:pPr>
      <w:r>
        <w:t>A black, emotionally extreme hero makes the brand impossible to ignore.</w:t>
      </w:r>
    </w:p>
    <w:p>
      <w:pPr>
        <w:pStyle w:val="ListNumber"/>
        <w:spacing w:after="80" w:line="300" w:lineRule="auto"/>
        <w:ind w:left="540" w:hanging="271"/>
      </w:pPr>
      <w:r>
        <w:t>A pale editorial section reframes Dia as a thoughtful interpreter of browser context.</w:t>
      </w:r>
    </w:p>
    <w:p>
      <w:pPr>
        <w:pStyle w:val="ListNumber"/>
        <w:spacing w:after="80" w:line="300" w:lineRule="auto"/>
        <w:ind w:left="540" w:hanging="271"/>
      </w:pPr>
      <w:r>
        <w:t>A controlled use-case sequence changes one example at a time inside a stable browser frame.</w:t>
      </w:r>
    </w:p>
    <w:p>
      <w:pPr>
        <w:pStyle w:val="ListNumber"/>
        <w:spacing w:after="80" w:line="300" w:lineRule="auto"/>
        <w:ind w:left="540" w:hanging="271"/>
      </w:pPr>
      <w:r>
        <w:t>The page zooms back out to the universal promise: a browser built around the user’s actual work.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200" w:type="dxa"/>
              <w:bottom w:w="150" w:type="dxa"/>
              <w:end w:w="200" w:type="dxa"/>
            </w:tcMar>
            <w:shd w:fill="FFF4C7"/>
            <w:tcBorders>
              <w:top w:val="single" w:sz="12" w:color="FFDC5C"/>
              <w:start w:val="nil"/>
              <w:bottom w:val="nil"/>
              <w:end w:val="nil"/>
            </w:tcBorders>
          </w:tcPr>
          <w:p>
            <w:pPr>
              <w:pStyle w:val="CalloutTitle"/>
            </w:pPr>
            <w:r>
              <w:rPr>
                <w:color w:val="1A1A1A"/>
              </w:rPr>
              <w:t>TRANSFERABLE PRINCIPLE</w:t>
            </w:r>
          </w:p>
          <w:p>
            <w:pPr>
              <w:spacing w:after="0"/>
            </w:pPr>
            <w:r>
              <w:t>Spend one special effect per viewport. Keep the product evidence compositionally quiet enough to be read.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  <w:keepNext/>
      </w:pPr>
      <w:r>
        <w:t>03 / VISUAL SYSTEM</w:t>
      </w:r>
    </w:p>
    <w:p>
      <w:pPr>
        <w:pStyle w:val="Heading1"/>
        <w:keepNext/>
      </w:pPr>
      <w:r>
        <w:t>Typography separates feeling, function, and metadata</w:t>
      </w:r>
    </w:p>
    <w:p>
      <w:pPr>
        <w:pStyle w:val="Deck"/>
        <w:keepNext w:val="0"/>
      </w:pPr>
      <w:r>
        <w:t>The current system uses type roles more strategically than a conventional display/body pairing.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FAMILY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OBSERVED USE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EFFECT</w:t>
            </w:r>
          </w:p>
        </w:tc>
      </w:tr>
      <w:tr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Exposure Variable / Exposure VAR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Editorial display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Hero wordmark, emotional headlines, Reports, release-note titles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Highly expressive; unusual exposure axis and many static instances</w:t>
            </w:r>
          </w:p>
        </w:tc>
      </w:tr>
      <w:tr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ABC Oracle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Product sans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Body, work pages, product explanation, many current headings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Quiet, humanist, low-friction</w:t>
            </w:r>
          </w:p>
        </w:tc>
      </w:tr>
      <w:tr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ABC Favorit Mono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Utility mono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Navigation, footer, compact labels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Operational and browser-like</w:t>
            </w:r>
          </w:p>
        </w:tc>
      </w:tr>
      <w:tr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Quadrant Text Mono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Editorial metadata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Release issue, version, date, location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Makes shipping feel archived and collectible</w:t>
            </w:r>
          </w:p>
        </w:tc>
      </w:tr>
      <w:tr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ABC Oracle Triple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Accent display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Selected campaign or component accents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Use sparingly</w:t>
            </w:r>
          </w:p>
        </w:tc>
      </w:tr>
      <w:tr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SF Pro / system fallbacks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Interface support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Product-adjacent UI and resilience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Familiar platform texture</w:t>
            </w:r>
          </w:p>
        </w:tc>
      </w:tr>
    </w:tbl>
    <w:p>
      <w:pPr>
        <w:spacing w:after="0"/>
      </w:pPr>
    </w:p>
    <w:p>
      <w:pPr>
        <w:pStyle w:val="Heading2"/>
      </w:pPr>
      <w:r>
        <w:t>Current scale cues</w:t>
      </w:r>
    </w:p>
    <w:p>
      <w:pPr>
        <w:pStyle w:val="ListBullet"/>
        <w:spacing w:after="80" w:line="300" w:lineRule="auto"/>
        <w:ind w:left="540" w:hanging="271"/>
      </w:pPr>
      <w:r>
        <w:t>Home hero “Dia”: approximately 112 px on desktop; the word behaves as image and name at once.</w:t>
      </w:r>
    </w:p>
    <w:p>
      <w:pPr>
        <w:pStyle w:val="ListBullet"/>
        <w:spacing w:after="80" w:line="300" w:lineRule="auto"/>
        <w:ind w:left="540" w:hanging="271"/>
      </w:pPr>
      <w:r>
        <w:t>Major editorial sections: approximately 48 px Exposure; major product sections: approximately 54 px ABC Oracle.</w:t>
      </w:r>
    </w:p>
    <w:p>
      <w:pPr>
        <w:pStyle w:val="ListBullet"/>
        <w:spacing w:after="80" w:line="300" w:lineRule="auto"/>
        <w:ind w:left="540" w:hanging="271"/>
      </w:pPr>
      <w:r>
        <w:t>Product descriptions: approximately 18 px ABC Oracle with softened black.</w:t>
      </w:r>
    </w:p>
    <w:p>
      <w:pPr>
        <w:pStyle w:val="ListBullet"/>
        <w:spacing w:after="80" w:line="300" w:lineRule="auto"/>
        <w:ind w:left="540" w:hanging="271"/>
      </w:pPr>
      <w:r>
        <w:t>Release-note metadata and footer systems: approximately 13 px mono, often spaced and boxed.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200" w:type="dxa"/>
              <w:bottom w:w="150" w:type="dxa"/>
              <w:end w:w="200" w:type="dxa"/>
            </w:tcMar>
            <w:shd w:fill="FCE8E6"/>
            <w:tcBorders>
              <w:top w:val="single" w:sz="12" w:color="FFDC5C"/>
              <w:start w:val="nil"/>
              <w:bottom w:val="nil"/>
              <w:end w:val="nil"/>
            </w:tcBorders>
          </w:tcPr>
          <w:p>
            <w:pPr>
              <w:pStyle w:val="CalloutTitle"/>
            </w:pPr>
            <w:r>
              <w:rPr>
                <w:color w:val="1A1A1A"/>
              </w:rPr>
              <w:t>LICENSING</w:t>
            </w:r>
          </w:p>
          <w:p>
            <w:pPr>
              <w:spacing w:after="0"/>
            </w:pPr>
            <w:r>
              <w:t>Do not copy or redistribute these commercial fonts from the reference archive. Recreate the role contrast with licensed or open alternatives.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  <w:keepNext/>
      </w:pPr>
      <w:r>
        <w:t>03 / VISUAL SYSTEM</w:t>
      </w:r>
    </w:p>
    <w:p>
      <w:pPr>
        <w:pStyle w:val="Heading1"/>
        <w:keepNext/>
      </w:pPr>
      <w:r>
        <w:t>The base is nearly colorless; the artifacts carry the chroma</w:t>
      </w:r>
    </w:p>
    <w:p>
      <w:pPr>
        <w:pStyle w:val="Deck"/>
        <w:keepNext w:val="0"/>
      </w:pPr>
      <w:r>
        <w:t>Dia’s core page system is near-black, warm white, soft gray, and glassy browser chrome. Strong color arrives inside campaigns, reports, skills, and illustrations.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020204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/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/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/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/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FFDC5C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/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urier New" w:hAnsi="Courier New"/>
                <w:sz w:val="16"/>
              </w:rPr>
              <w:t>#020204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urier New" w:hAnsi="Courier New"/>
                <w:sz w:val="16"/>
              </w:rPr>
              <w:t>#F8F8F8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urier New" w:hAnsi="Courier New"/>
                <w:sz w:val="16"/>
              </w:rPr>
              <w:t>#FFFFFF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urier New" w:hAnsi="Courier New"/>
                <w:sz w:val="16"/>
              </w:rPr>
              <w:t>#D9D9D9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urier New" w:hAnsi="Courier New"/>
                <w:sz w:val="16"/>
              </w:rPr>
              <w:t>#FFDC5C</w:t>
            </w:r>
          </w:p>
        </w:tc>
      </w:tr>
    </w:tbl>
    <w:p>
      <w:pPr>
        <w:spacing w:after="0"/>
      </w:pPr>
    </w:p>
    <w:p>
      <w:pPr>
        <w:pStyle w:val="Heading2"/>
      </w:pPr>
      <w:r>
        <w:t>Material grammar</w:t>
      </w:r>
    </w:p>
    <w:p>
      <w:pPr>
        <w:pStyle w:val="ListBullet"/>
        <w:spacing w:after="80" w:line="300" w:lineRule="auto"/>
        <w:ind w:left="540" w:hanging="271"/>
      </w:pPr>
      <w:r>
        <w:t>Pill-shaped navigation and controls echo browser chrome without reproducing a literal toolbar.</w:t>
      </w:r>
    </w:p>
    <w:p>
      <w:pPr>
        <w:pStyle w:val="ListBullet"/>
        <w:spacing w:after="80" w:line="300" w:lineRule="auto"/>
        <w:ind w:left="540" w:hanging="271"/>
      </w:pPr>
      <w:r>
        <w:t>Large radii, pale glow fields, thin gray rules, and sparse shadows keep surfaces soft rather than glossy.</w:t>
      </w:r>
    </w:p>
    <w:p>
      <w:pPr>
        <w:pStyle w:val="ListBullet"/>
        <w:spacing w:after="80" w:line="300" w:lineRule="auto"/>
        <w:ind w:left="540" w:hanging="271"/>
      </w:pPr>
      <w:r>
        <w:t>Browser screenshots are framed as finished scenes; the surrounding page rarely competes with the screen.</w:t>
      </w:r>
    </w:p>
    <w:p>
      <w:pPr>
        <w:pStyle w:val="ListBullet"/>
        <w:spacing w:after="80" w:line="300" w:lineRule="auto"/>
        <w:ind w:left="540" w:hanging="271"/>
      </w:pPr>
      <w:r>
        <w:t>Paper, postcards, painting, mono stamps, clips, and vertical metadata turn digital updates into editorial objects.</w:t>
      </w:r>
    </w:p>
    <w:p>
      <w:pPr>
        <w:pStyle w:val="Heading2"/>
      </w:pPr>
      <w:r>
        <w:t>Motion grammar</w:t>
      </w:r>
    </w:p>
    <w:p>
      <w:pPr>
        <w:pStyle w:val="ListBullet"/>
        <w:spacing w:after="80" w:line="300" w:lineRule="auto"/>
        <w:ind w:left="540" w:hanging="271"/>
      </w:pPr>
      <w:r>
        <w:t>Pinned or staged scroll transitions hold one composition while the active narrative changes.</w:t>
      </w:r>
    </w:p>
    <w:p>
      <w:pPr>
        <w:pStyle w:val="ListBullet"/>
        <w:spacing w:after="80" w:line="300" w:lineRule="auto"/>
        <w:ind w:left="540" w:hanging="271"/>
      </w:pPr>
      <w:r>
        <w:t>The CSS includes authored easing families such as cubic-bezier(.76,0,.24,1) and cubic-bezier(.87,0,.13,1), alongside standard product easings.</w:t>
      </w:r>
    </w:p>
    <w:p>
      <w:pPr>
        <w:pStyle w:val="ListBullet"/>
        <w:spacing w:after="80" w:line="300" w:lineRule="auto"/>
        <w:ind w:left="540" w:hanging="271"/>
      </w:pPr>
      <w:r>
        <w:t>Motion reveals state and attention; it is not used as permanent ambient decoration.</w:t>
      </w:r>
    </w:p>
    <w:p>
      <w:r>
        <w:br w:type="page"/>
      </w:r>
    </w:p>
    <w:p>
      <w:pPr>
        <w:pStyle w:val="Kicker"/>
        <w:keepNext/>
      </w:pPr>
      <w:r>
        <w:t>04 / LANGUAGE</w:t>
      </w:r>
    </w:p>
    <w:p>
      <w:pPr>
        <w:pStyle w:val="Heading1"/>
        <w:keepNext/>
      </w:pPr>
      <w:r>
        <w:t>The voice is direct, second-person, and emotionally ordinary</w:t>
      </w:r>
    </w:p>
    <w:p>
      <w:pPr>
        <w:pStyle w:val="Deck"/>
        <w:keepNext w:val="0"/>
      </w:pPr>
      <w:r>
        <w:t>Dia now talks like a thoughtful colleague who already knows the situation—not a lab explaining a breakthrough.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50" w:type="dxa"/>
              <w:start w:w="150" w:type="dxa"/>
              <w:bottom w:w="150" w:type="dxa"/>
              <w:end w:w="150" w:type="dxa"/>
            </w:tcMar>
            <w:shd w:fill="F8F8F8"/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1A1A1A"/>
                <w:sz w:val="38"/>
              </w:rPr>
              <w:t>26,412</w:t>
            </w:r>
          </w:p>
          <w:p>
            <w:pPr>
              <w:spacing w:after="0"/>
              <w:jc w:val="center"/>
            </w:pPr>
            <w:r>
              <w:rPr>
                <w:color w:val="5D5D5D"/>
                <w:sz w:val="17"/>
              </w:rPr>
              <w:t>words in filtered corpus</w:t>
            </w:r>
          </w:p>
        </w:tc>
        <w:tc>
          <w:tcPr>
            <w:tcW w:type="dxa" w:w="3120"/>
            <w:tcMar>
              <w:top w:w="150" w:type="dxa"/>
              <w:start w:w="150" w:type="dxa"/>
              <w:bottom w:w="150" w:type="dxa"/>
              <w:end w:w="150" w:type="dxa"/>
            </w:tcMar>
            <w:shd w:fill="F8F8F8"/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1A1A1A"/>
                <w:sz w:val="38"/>
              </w:rPr>
              <w:t>1,271</w:t>
            </w:r>
          </w:p>
          <w:p>
            <w:pPr>
              <w:spacing w:after="0"/>
              <w:jc w:val="center"/>
            </w:pPr>
            <w:r>
              <w:rPr>
                <w:color w:val="5D5D5D"/>
                <w:sz w:val="17"/>
              </w:rPr>
              <w:t>second-person uses</w:t>
            </w:r>
          </w:p>
        </w:tc>
        <w:tc>
          <w:tcPr>
            <w:tcW w:type="dxa" w:w="3120"/>
            <w:tcMar>
              <w:top w:w="150" w:type="dxa"/>
              <w:start w:w="150" w:type="dxa"/>
              <w:bottom w:w="150" w:type="dxa"/>
              <w:end w:w="150" w:type="dxa"/>
            </w:tcMar>
            <w:shd w:fill="F8F8F8"/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1A1A1A"/>
                <w:sz w:val="38"/>
              </w:rPr>
              <w:t>294</w:t>
            </w:r>
          </w:p>
          <w:p>
            <w:pPr>
              <w:spacing w:after="0"/>
              <w:jc w:val="center"/>
            </w:pPr>
            <w:r>
              <w:rPr>
                <w:color w:val="5D5D5D"/>
                <w:sz w:val="17"/>
              </w:rPr>
              <w:t>first-person-plural uses</w:t>
            </w:r>
          </w:p>
        </w:tc>
      </w:tr>
      <w:tr>
        <w:tc>
          <w:tcPr>
            <w:tcW w:type="dxa" w:w="3120"/>
            <w:tcMar>
              <w:top w:w="150" w:type="dxa"/>
              <w:start w:w="150" w:type="dxa"/>
              <w:bottom w:w="150" w:type="dxa"/>
              <w:end w:w="150" w:type="dxa"/>
            </w:tcMar>
            <w:shd w:fill="F8F8F8"/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1A1A1A"/>
                <w:sz w:val="38"/>
              </w:rPr>
              <w:t>656</w:t>
            </w:r>
          </w:p>
          <w:p>
            <w:pPr>
              <w:spacing w:after="0"/>
              <w:jc w:val="center"/>
            </w:pPr>
            <w:r>
              <w:rPr>
                <w:color w:val="5D5D5D"/>
                <w:sz w:val="17"/>
              </w:rPr>
              <w:t>contractions</w:t>
            </w:r>
          </w:p>
        </w:tc>
        <w:tc>
          <w:tcPr>
            <w:tcW w:type="dxa" w:w="3120"/>
            <w:tcMar>
              <w:top w:w="150" w:type="dxa"/>
              <w:start w:w="150" w:type="dxa"/>
              <w:bottom w:w="150" w:type="dxa"/>
              <w:end w:w="150" w:type="dxa"/>
            </w:tcMar>
            <w:shd w:fill="F8F8F8"/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1A1A1A"/>
                <w:sz w:val="38"/>
              </w:rPr>
              <w:t>92</w:t>
            </w:r>
          </w:p>
          <w:p>
            <w:pPr>
              <w:spacing w:after="0"/>
              <w:jc w:val="center"/>
            </w:pPr>
            <w:r>
              <w:rPr>
                <w:color w:val="5D5D5D"/>
                <w:sz w:val="17"/>
              </w:rPr>
              <w:t>questions</w:t>
            </w:r>
          </w:p>
        </w:tc>
        <w:tc>
          <w:tcPr>
            <w:tcW w:type="dxa" w:w="3120"/>
            <w:tcMar>
              <w:top w:w="150" w:type="dxa"/>
              <w:start w:w="150" w:type="dxa"/>
              <w:bottom w:w="150" w:type="dxa"/>
              <w:end w:w="150" w:type="dxa"/>
            </w:tcMar>
            <w:shd w:fill="F8F8F8"/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1A1A1A"/>
                <w:sz w:val="38"/>
              </w:rPr>
              <w:t>127</w:t>
            </w:r>
          </w:p>
          <w:p>
            <w:pPr>
              <w:spacing w:after="0"/>
              <w:jc w:val="center"/>
            </w:pPr>
            <w:r>
              <w:rPr>
                <w:color w:val="5D5D5D"/>
                <w:sz w:val="17"/>
              </w:rPr>
              <w:t>em dashes</w:t>
            </w:r>
          </w:p>
        </w:tc>
      </w:tr>
    </w:tbl>
    <w:p>
      <w:pPr>
        <w:pStyle w:val="Heading2"/>
      </w:pPr>
      <w:r>
        <w:t>What the counts suggest</w:t>
      </w:r>
    </w:p>
    <w:p>
      <w:pPr>
        <w:pStyle w:val="ListBullet"/>
        <w:spacing w:after="80" w:line="300" w:lineRule="auto"/>
        <w:ind w:left="540" w:hanging="271"/>
      </w:pPr>
      <w:r>
        <w:t>Second-person language appears about 4.3× as often as first-person plural: the user’s situation is the grammatical center.</w:t>
      </w:r>
    </w:p>
    <w:p>
      <w:pPr>
        <w:pStyle w:val="ListBullet"/>
        <w:spacing w:after="80" w:line="300" w:lineRule="auto"/>
        <w:ind w:left="540" w:hanging="271"/>
      </w:pPr>
      <w:r>
        <w:t>Contractions keep the writing spoken and contemporary without becoming internet-slang heavy.</w:t>
      </w:r>
    </w:p>
    <w:p>
      <w:pPr>
        <w:pStyle w:val="ListBullet"/>
        <w:spacing w:after="80" w:line="300" w:lineRule="auto"/>
        <w:ind w:left="540" w:hanging="271"/>
      </w:pPr>
      <w:r>
        <w:t>Repeated concepts include tabs, work, chat, groups, meetings, context, open, day, without, and better.</w:t>
      </w:r>
    </w:p>
    <w:p>
      <w:pPr>
        <w:pStyle w:val="ListBullet"/>
        <w:spacing w:after="80" w:line="300" w:lineRule="auto"/>
        <w:ind w:left="540" w:hanging="271"/>
      </w:pPr>
      <w:r>
        <w:t>Questions are used to activate recognition and frame a job, not to manufacture mystery.</w:t>
      </w:r>
    </w:p>
    <w:p>
      <w:pPr>
        <w:pStyle w:val="Heading2"/>
      </w:pPr>
      <w:r>
        <w:t>Current copy ladder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LAYER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PUBLIC EXAMPLE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JOB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Emotional hook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A browser you won’t dread opening.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Names the feeling before the feature.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Mechanism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Dia reads between the tabs.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Makes context continuity legible.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Fit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Built for how you actually work.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Rejects generic productivity theater.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Resolution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Ready for a better day?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Returns the product promise to lived experience.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200" w:type="dxa"/>
              <w:bottom w:w="150" w:type="dxa"/>
              <w:end w:w="200" w:type="dxa"/>
            </w:tcMar>
            <w:shd w:fill="FFF4C7"/>
            <w:tcBorders>
              <w:top w:val="single" w:sz="12" w:color="FFDC5C"/>
              <w:start w:val="nil"/>
              <w:bottom w:val="nil"/>
              <w:end w:val="nil"/>
            </w:tcBorders>
          </w:tcPr>
          <w:p>
            <w:pPr>
              <w:pStyle w:val="CalloutTitle"/>
            </w:pPr>
            <w:r>
              <w:rPr>
                <w:color w:val="1A1A1A"/>
              </w:rPr>
              <w:t>COPY TEST</w:t>
            </w:r>
          </w:p>
          <w:p>
            <w:pPr>
              <w:spacing w:after="0"/>
            </w:pPr>
            <w:r>
              <w:t>If a line could describe any AI tool, it is not yet Dia-shaped. Anchor the line in a browser situation, an authored output, or a familiar workday feeling.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  <w:keepNext/>
      </w:pPr>
      <w:r>
        <w:t>04 / LANGUAGE</w:t>
      </w:r>
    </w:p>
    <w:p>
      <w:pPr>
        <w:pStyle w:val="Heading1"/>
        <w:keepNext/>
      </w:pPr>
      <w:r>
        <w:t>A usable writing formula</w:t>
      </w:r>
    </w:p>
    <w:p>
      <w:pPr>
        <w:pStyle w:val="Deck"/>
        <w:keepNext w:val="0"/>
      </w:pPr>
      <w:r>
        <w:t>The current voice can be replicated as a decision sequence without copying any sentence.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STEP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MOVE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WHAT TO WRITE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Name the friction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A human feeling or ordinary task: hunting, preparing, catching up, doing it alone.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Reveal the contextual advantage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The browser already contains the tabs, history, people, and work needed to help.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Materialize the intelligence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Show the brief, report, summary, answer, or next step.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Resolve in life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Ahead, ready, focused, calmer, moving, or done.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Prove control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When stakes rise, explain privacy, choice, source scope, and company readiness.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Invite lightly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Download, try, ask, explore, or add it to the day.</w:t>
            </w:r>
          </w:p>
        </w:tc>
      </w:tr>
    </w:tbl>
    <w:p>
      <w:pPr>
        <w:spacing w:after="0"/>
      </w:pPr>
    </w:p>
    <w:p>
      <w:pPr>
        <w:pStyle w:val="Heading2"/>
      </w:pPr>
      <w:r>
        <w:t>Do</w:t>
      </w:r>
    </w:p>
    <w:p>
      <w:pPr>
        <w:pStyle w:val="ListBullet"/>
        <w:spacing w:after="80" w:line="300" w:lineRule="auto"/>
        <w:ind w:left="540" w:hanging="271"/>
      </w:pPr>
      <w:r>
        <w:t>Use familiar nouns and verbs before technical terms.</w:t>
      </w:r>
    </w:p>
    <w:p>
      <w:pPr>
        <w:pStyle w:val="ListBullet"/>
        <w:spacing w:after="80" w:line="300" w:lineRule="auto"/>
        <w:ind w:left="540" w:hanging="271"/>
      </w:pPr>
      <w:r>
        <w:t>Let one sentence carry one job.</w:t>
      </w:r>
    </w:p>
    <w:p>
      <w:pPr>
        <w:pStyle w:val="ListBullet"/>
        <w:spacing w:after="80" w:line="300" w:lineRule="auto"/>
        <w:ind w:left="540" w:hanging="271"/>
      </w:pPr>
      <w:r>
        <w:t>Write toward a concrete output or a changed state.</w:t>
      </w:r>
    </w:p>
    <w:p>
      <w:pPr>
        <w:pStyle w:val="ListBullet"/>
        <w:spacing w:after="80" w:line="300" w:lineRule="auto"/>
        <w:ind w:left="540" w:hanging="271"/>
      </w:pPr>
      <w:r>
        <w:t>Use contractions and direct address when they improve rhythm.</w:t>
      </w:r>
    </w:p>
    <w:p>
      <w:pPr>
        <w:pStyle w:val="Heading2"/>
      </w:pPr>
      <w:r>
        <w:t>Avoid</w:t>
      </w:r>
    </w:p>
    <w:p>
      <w:pPr>
        <w:pStyle w:val="ListBullet"/>
        <w:spacing w:after="80" w:line="300" w:lineRule="auto"/>
        <w:ind w:left="540" w:hanging="271"/>
      </w:pPr>
      <w:r>
        <w:t>Generic superlatives, model worship, or claims that require trust before evidence.</w:t>
      </w:r>
    </w:p>
    <w:p>
      <w:pPr>
        <w:pStyle w:val="ListBullet"/>
        <w:spacing w:after="80" w:line="300" w:lineRule="auto"/>
        <w:ind w:left="540" w:hanging="271"/>
      </w:pPr>
      <w:r>
        <w:t>Feature pile-ups, autonomous-agent theater, or vague “transform your workflow” language.</w:t>
      </w:r>
    </w:p>
    <w:p>
      <w:pPr>
        <w:pStyle w:val="ListBullet"/>
        <w:spacing w:after="80" w:line="300" w:lineRule="auto"/>
        <w:ind w:left="540" w:hanging="271"/>
      </w:pPr>
      <w:r>
        <w:t>Permanent whimsy. Dia’s playful or raw gestures sit inside a disciplined system.</w:t>
      </w:r>
    </w:p>
    <w:p>
      <w:r>
        <w:br w:type="page"/>
      </w:r>
    </w:p>
    <w:p>
      <w:pPr>
        <w:pStyle w:val="Kicker"/>
        <w:keepNext/>
      </w:pPr>
      <w:r>
        <w:t>05 / SURFACE MAP</w:t>
      </w:r>
    </w:p>
    <w:p>
      <w:pPr>
        <w:pStyle w:val="Heading1"/>
        <w:keepNext/>
      </w:pPr>
      <w:r>
        <w:t>One brand, several levels of intensity</w:t>
      </w:r>
    </w:p>
    <w:p>
      <w:pPr>
        <w:pStyle w:val="Deck"/>
        <w:keepNext w:val="0"/>
      </w:pPr>
      <w:r>
        <w:t>The current ecosystem does not use a single tone everywhere. Each surface carries a specific proof burden.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SURFACE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ENERGY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PROMISE</w:t>
            </w:r>
          </w:p>
        </w:tc>
      </w:tr>
      <w:tr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Homepage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Emotional brand platform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Raw opening; calm authored proof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Dread → context → better day</w:t>
            </w:r>
          </w:p>
        </w:tc>
      </w:tr>
      <w:tr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Reports / Start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Campaign and routine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Documentary, local, warm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Bring synthesis into the morning</w:t>
            </w:r>
          </w:p>
        </w:tc>
      </w:tr>
      <w:tr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Dia Weekly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Release culture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Editorial, credited, collectible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Shipping is a publication</w:t>
            </w:r>
          </w:p>
        </w:tc>
      </w:tr>
      <w:tr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Work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Company readiness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Quiet, broad, reassuring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Context plus security and scale</w:t>
            </w:r>
          </w:p>
        </w:tc>
      </w:tr>
      <w:tr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Students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High-energy utility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Playful, direct, graphic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You do not have to do it alone</w:t>
            </w:r>
          </w:p>
        </w:tc>
      </w:tr>
      <w:tr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Skills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Extensibility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Gallery-like, modular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See possibilities and reusable packs</w:t>
            </w:r>
          </w:p>
        </w:tc>
      </w:tr>
      <w:tr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Windows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Platform expansion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Restrained beta utility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Join and stay informed</w:t>
            </w:r>
          </w:p>
        </w:tc>
      </w:tr>
      <w:tr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Security / Privacy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Trust infrastructure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Specific and controlled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User agency and evidence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200" w:type="dxa"/>
              <w:bottom w:w="150" w:type="dxa"/>
              <w:end w:w="200" w:type="dxa"/>
            </w:tcMar>
            <w:shd w:fill="FFF4C7"/>
            <w:tcBorders>
              <w:top w:val="single" w:sz="12" w:color="FFDC5C"/>
              <w:start w:val="nil"/>
              <w:bottom w:val="nil"/>
              <w:end w:val="nil"/>
            </w:tcBorders>
          </w:tcPr>
          <w:p>
            <w:pPr>
              <w:pStyle w:val="CalloutTitle"/>
            </w:pPr>
            <w:r>
              <w:rPr>
                <w:color w:val="1A1A1A"/>
              </w:rPr>
              <w:t>SYSTEM RULE</w:t>
            </w:r>
          </w:p>
          <w:p>
            <w:pPr>
              <w:spacing w:after="0"/>
            </w:pPr>
            <w:r>
              <w:t>Intensity belongs to the surface’s job. The homepage can scream; the company page should reassure; the release system can become an authored magazine.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  <w:keepNext/>
      </w:pPr>
      <w:r>
        <w:t>05 / SURFACE MAP</w:t>
      </w:r>
    </w:p>
    <w:p>
      <w:pPr>
        <w:pStyle w:val="Heading1"/>
        <w:keepNext/>
      </w:pPr>
      <w:r>
        <w:t>Campaign worlds make the product socially believable</w:t>
      </w:r>
    </w:p>
    <w:p>
      <w:pPr>
        <w:pStyle w:val="Deck"/>
        <w:keepNext w:val="0"/>
      </w:pPr>
      <w:r>
        <w:t>Reports is staged in a real café and a real morning. Work is staged as calm product evidence. Together they connect emotional brand to practical adoption.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423937"/>
                  <wp:docPr id="4" name="Picture 4" descr="Dia Reports campaign hero staged in a Brooklyn cafe." title="Dia Reports campaign hero staged in a Brooklyn caf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8-03-reports-campaign-h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239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hAnsi="Courier New"/>
                <w:color w:val="5D5D5D"/>
                <w:sz w:val="15"/>
              </w:rPr>
              <w:t>REPORTS / DOCUMENTARY ROUTINE</w:t>
            </w:r>
          </w:p>
        </w:tc>
        <w:tc>
          <w:tcPr>
            <w:tcW w:type="dxa" w:w="4680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423937"/>
                  <wp:docPr id="5" name="Picture 5" descr="Dia for Work page with a calm browser product frame and company-ready message." title="Dia for Work page with a calm browser product frame and company-ready messag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8-03-current-work-her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239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hAnsi="Courier New"/>
                <w:color w:val="5D5D5D"/>
                <w:sz w:val="15"/>
              </w:rPr>
              <w:t>WORK / QUIET PROOF</w:t>
            </w:r>
          </w:p>
        </w:tc>
      </w:tr>
    </w:tbl>
    <w:p>
      <w:pPr>
        <w:pStyle w:val="Heading2"/>
      </w:pPr>
      <w:r>
        <w:t>Design implication</w:t>
      </w:r>
    </w:p>
    <w:p>
      <w:r>
        <w:t>Dia does not ask one visual system to carry every level of proof. It alternates between authored cultural settings and precise product frames, then lets a consistent type hierarchy and navigation system hold the family together.</w:t>
      </w:r>
    </w:p>
    <w:p>
      <w:r>
        <w:br w:type="page"/>
      </w:r>
    </w:p>
    <w:p>
      <w:pPr>
        <w:pStyle w:val="Kicker"/>
        <w:keepNext/>
      </w:pPr>
      <w:r>
        <w:t>05 / SURFACE MAP</w:t>
      </w:r>
    </w:p>
    <w:p>
      <w:pPr>
        <w:pStyle w:val="Heading1"/>
        <w:keepNext/>
      </w:pPr>
      <w:r>
        <w:t>Audience pages are allowed to change costume</w:t>
      </w:r>
    </w:p>
    <w:p>
      <w:pPr>
        <w:pStyle w:val="Deck"/>
        <w:keepNext w:val="0"/>
      </w:pPr>
      <w:r>
        <w:t>Students uses pixel icons and high-chroma prompt cards. Skills uses a gallery logic. Both remain recognizable through type roles, spacing, chrome, and direct utility copy.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423937"/>
                  <wp:docPr id="6" name="Picture 6" descr="Dia for Students page with pixel icons and colorful study prompt cards." title="Dia for Students page with pixel icons and colorful study prompt card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8-03-current-students-her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239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hAnsi="Courier New"/>
                <w:color w:val="5D5D5D"/>
                <w:sz w:val="15"/>
              </w:rPr>
              <w:t>STUDENTS / PLAYFUL ASSISTANCE</w:t>
            </w:r>
          </w:p>
        </w:tc>
        <w:tc>
          <w:tcPr>
            <w:tcW w:type="dxa" w:w="4680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423937"/>
                  <wp:docPr id="7" name="Picture 7" descr="Dia Skills Gallery hero showing modular skill examples." title="Dia Skills Gallery hero showing modular skill example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8-03-current-skills-her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239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hAnsi="Courier New"/>
                <w:color w:val="5D5D5D"/>
                <w:sz w:val="15"/>
              </w:rPr>
              <w:t>SKILLS / MODULAR POSSIBILITY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200" w:type="dxa"/>
              <w:bottom w:w="150" w:type="dxa"/>
              <w:end w:w="200" w:type="dxa"/>
            </w:tcMar>
            <w:shd w:fill="FFF4C7"/>
            <w:tcBorders>
              <w:top w:val="single" w:sz="12" w:color="FFDC5C"/>
              <w:start w:val="nil"/>
              <w:bottom w:val="nil"/>
              <w:end w:val="nil"/>
            </w:tcBorders>
          </w:tcPr>
          <w:p>
            <w:pPr>
              <w:pStyle w:val="CalloutTitle"/>
            </w:pPr>
            <w:r>
              <w:rPr>
                <w:color w:val="1A1A1A"/>
              </w:rPr>
              <w:t>BRAND RANGE</w:t>
            </w:r>
          </w:p>
          <w:p>
            <w:pPr>
              <w:spacing w:after="0"/>
            </w:pPr>
            <w:r>
              <w:t>Consistency is structural, not cosmetic: type roles, direct address, browser-native context, and authored outputs survive even when the illustration style changes.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  <w:keepNext/>
      </w:pPr>
      <w:r>
        <w:t>06 / RELEASE CULTURE</w:t>
      </w:r>
    </w:p>
    <w:p>
      <w:pPr>
        <w:pStyle w:val="Heading1"/>
        <w:keepNext/>
      </w:pPr>
      <w:r>
        <w:t>Dia Weekly turns shipping into editorial memory</w:t>
      </w:r>
    </w:p>
    <w:p>
      <w:pPr>
        <w:pStyle w:val="Deck"/>
        <w:keepNext w:val="0"/>
      </w:pPr>
      <w:r>
        <w:t>The release system is the strongest example of Dia’s brand language becoming an operating system rather than a campaign.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498848" cy="3975257"/>
            <wp:docPr id="8" name="Picture 8" descr="Dia Weekly issue 35 masthead, roadmap title, and credited artwork." title="Dia Weekly issue 35 masthead, roadmap title, and credited artwor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3-current-release-notes-he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8848" cy="3975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3. Dia Weekly Unfiltered, issue 035 / app 1.42.0: publication masthead, date, time, location, version, art, and a story-led title.</w:t>
      </w:r>
    </w:p>
    <w:p>
      <w:pPr>
        <w:pStyle w:val="Heading2"/>
      </w:pPr>
      <w:r>
        <w:t>Recurring anatomy</w:t>
      </w:r>
    </w:p>
    <w:p>
      <w:pPr>
        <w:pStyle w:val="ListBullet"/>
        <w:spacing w:after="80" w:line="300" w:lineRule="auto"/>
        <w:ind w:left="540" w:hanging="271"/>
      </w:pPr>
      <w:r>
        <w:t>Issue number, app version, release date/time, and location establish provenance.</w:t>
      </w:r>
    </w:p>
    <w:p>
      <w:pPr>
        <w:pStyle w:val="ListBullet"/>
        <w:spacing w:after="80" w:line="300" w:lineRule="auto"/>
        <w:ind w:left="540" w:hanging="271"/>
      </w:pPr>
      <w:r>
        <w:t>Story-led titles replace purely functional version labels.</w:t>
      </w:r>
    </w:p>
    <w:p>
      <w:pPr>
        <w:pStyle w:val="ListBullet"/>
        <w:spacing w:after="80" w:line="300" w:lineRule="auto"/>
        <w:ind w:left="540" w:hanging="271"/>
      </w:pPr>
      <w:r>
        <w:t>Builder credits, teammate modules, postcards, art, and personal cultural recommendations make the company visible.</w:t>
      </w:r>
    </w:p>
    <w:p>
      <w:pPr>
        <w:pStyle w:val="ListBullet"/>
        <w:spacing w:after="80" w:line="300" w:lineRule="auto"/>
        <w:ind w:left="540" w:hanging="271"/>
      </w:pPr>
      <w:r>
        <w:t>Wide media, showcases, lists, grids, and notes let each issue have a composed rhythm.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50" w:type="dxa"/>
              <w:start w:w="150" w:type="dxa"/>
              <w:bottom w:w="150" w:type="dxa"/>
              <w:end w:w="150" w:type="dxa"/>
            </w:tcMar>
            <w:shd w:fill="F8F8F8"/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1A1A1A"/>
                <w:sz w:val="34"/>
              </w:rPr>
              <w:t>35</w:t>
            </w:r>
          </w:p>
          <w:p>
            <w:pPr>
              <w:spacing w:after="0"/>
              <w:jc w:val="center"/>
            </w:pPr>
            <w:r>
              <w:rPr>
                <w:color w:val="5D5D5D"/>
                <w:sz w:val="14"/>
              </w:rPr>
              <w:t>issues</w:t>
            </w:r>
          </w:p>
        </w:tc>
        <w:tc>
          <w:tcPr>
            <w:tcW w:type="dxa" w:w="1560"/>
            <w:tcMar>
              <w:top w:w="150" w:type="dxa"/>
              <w:start w:w="150" w:type="dxa"/>
              <w:bottom w:w="150" w:type="dxa"/>
              <w:end w:w="150" w:type="dxa"/>
            </w:tcMar>
            <w:shd w:fill="F8F8F8"/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1A1A1A"/>
                <w:sz w:val="24"/>
              </w:rPr>
              <w:t>2025-11-11</w:t>
            </w:r>
          </w:p>
          <w:p>
            <w:pPr>
              <w:spacing w:after="0"/>
              <w:jc w:val="center"/>
            </w:pPr>
            <w:r>
              <w:rPr>
                <w:color w:val="5D5D5D"/>
                <w:sz w:val="14"/>
              </w:rPr>
              <w:t>first issue</w:t>
            </w:r>
          </w:p>
        </w:tc>
        <w:tc>
          <w:tcPr>
            <w:tcW w:type="dxa" w:w="1560"/>
            <w:tcMar>
              <w:top w:w="150" w:type="dxa"/>
              <w:start w:w="150" w:type="dxa"/>
              <w:bottom w:w="150" w:type="dxa"/>
              <w:end w:w="150" w:type="dxa"/>
            </w:tcMar>
            <w:shd w:fill="F8F8F8"/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1A1A1A"/>
                <w:sz w:val="24"/>
              </w:rPr>
              <w:t>2026-07-30</w:t>
            </w:r>
          </w:p>
          <w:p>
            <w:pPr>
              <w:spacing w:after="0"/>
              <w:jc w:val="center"/>
            </w:pPr>
            <w:r>
              <w:rPr>
                <w:color w:val="5D5D5D"/>
                <w:sz w:val="14"/>
              </w:rPr>
              <w:t>latest</w:t>
            </w:r>
          </w:p>
        </w:tc>
        <w:tc>
          <w:tcPr>
            <w:tcW w:type="dxa" w:w="1560"/>
            <w:tcMar>
              <w:top w:w="150" w:type="dxa"/>
              <w:start w:w="150" w:type="dxa"/>
              <w:bottom w:w="150" w:type="dxa"/>
              <w:end w:w="150" w:type="dxa"/>
            </w:tcMar>
            <w:shd w:fill="F8F8F8"/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1A1A1A"/>
                <w:sz w:val="34"/>
              </w:rPr>
              <w:t>80</w:t>
            </w:r>
          </w:p>
          <w:p>
            <w:pPr>
              <w:spacing w:after="0"/>
              <w:jc w:val="center"/>
            </w:pPr>
            <w:r>
              <w:rPr>
                <w:color w:val="5D5D5D"/>
                <w:sz w:val="14"/>
              </w:rPr>
              <w:t>video refs</w:t>
            </w:r>
          </w:p>
        </w:tc>
        <w:tc>
          <w:tcPr>
            <w:tcW w:type="dxa" w:w="1560"/>
            <w:tcMar>
              <w:top w:w="150" w:type="dxa"/>
              <w:start w:w="150" w:type="dxa"/>
              <w:bottom w:w="150" w:type="dxa"/>
              <w:end w:w="150" w:type="dxa"/>
            </w:tcMar>
            <w:shd w:fill="F8F8F8"/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1A1A1A"/>
                <w:sz w:val="34"/>
              </w:rPr>
              <w:t>215</w:t>
            </w:r>
          </w:p>
          <w:p>
            <w:pPr>
              <w:spacing w:after="0"/>
              <w:jc w:val="center"/>
            </w:pPr>
            <w:r>
              <w:rPr>
                <w:color w:val="5D5D5D"/>
                <w:sz w:val="14"/>
              </w:rPr>
              <w:t>image uses</w:t>
            </w:r>
          </w:p>
        </w:tc>
        <w:tc>
          <w:tcPr>
            <w:tcW w:type="dxa" w:w="1560"/>
            <w:tcMar>
              <w:top w:w="150" w:type="dxa"/>
              <w:start w:w="150" w:type="dxa"/>
              <w:bottom w:w="150" w:type="dxa"/>
              <w:end w:w="150" w:type="dxa"/>
            </w:tcMar>
            <w:shd w:fill="F8F8F8"/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1A1A1A"/>
                <w:sz w:val="34"/>
              </w:rPr>
              <w:t>22</w:t>
            </w:r>
          </w:p>
          <w:p>
            <w:pPr>
              <w:spacing w:after="0"/>
              <w:jc w:val="center"/>
            </w:pPr>
            <w:r>
              <w:rPr>
                <w:color w:val="5D5D5D"/>
                <w:sz w:val="14"/>
              </w:rPr>
              <w:t>legacy docs</w:t>
            </w:r>
          </w:p>
        </w:tc>
      </w:tr>
    </w:tbl>
    <w:p>
      <w:r>
        <w:br w:type="page"/>
      </w:r>
    </w:p>
    <w:p>
      <w:pPr>
        <w:pStyle w:val="Kicker"/>
        <w:keepNext/>
      </w:pPr>
      <w:r>
        <w:t>07 / IMAGE LANGUAGE</w:t>
      </w:r>
    </w:p>
    <w:p>
      <w:pPr>
        <w:pStyle w:val="Heading1"/>
        <w:keepNext/>
      </w:pPr>
      <w:r>
        <w:t>Five image families carry most of the brand</w:t>
      </w:r>
    </w:p>
    <w:p>
      <w:pPr>
        <w:pStyle w:val="Deck"/>
        <w:keepNext w:val="0"/>
      </w:pPr>
      <w:r>
        <w:t>The archive is large, but the current imagery becomes manageable when grouped by the job each image performs.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FAMILY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EXAMPLES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BRAND JOB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Emotional human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Scream cutout and expressive figures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Instant memory; names felt friction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Documentary setting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Café, team, morning, city, real rooms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Places AI inside lived routine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Authored output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Reports, briefs, notes, study cards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Makes synthesis visible and desirable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Product proof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Browser frames, dialogs, groups, skills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Shows the mechanism without overexplaining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Editorial ephemera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Postcards, paper, clips, painting, mono stamps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Gives release history provenance and culture</w:t>
            </w:r>
          </w:p>
        </w:tc>
      </w:tr>
    </w:tbl>
    <w:p>
      <w:pPr>
        <w:spacing w:after="0"/>
      </w:pPr>
    </w:p>
    <w:p>
      <w:pPr>
        <w:pStyle w:val="Heading2"/>
      </w:pPr>
      <w:r>
        <w:t>Selection rules</w:t>
      </w:r>
    </w:p>
    <w:p>
      <w:pPr>
        <w:pStyle w:val="ListBullet"/>
        <w:spacing w:after="80" w:line="300" w:lineRule="auto"/>
        <w:ind w:left="540" w:hanging="271"/>
      </w:pPr>
      <w:r>
        <w:t>Prefer images that establish a situation or output, not generic visual mood.</w:t>
      </w:r>
    </w:p>
    <w:p>
      <w:pPr>
        <w:pStyle w:val="ListBullet"/>
        <w:spacing w:after="80" w:line="300" w:lineRule="auto"/>
        <w:ind w:left="540" w:hanging="271"/>
      </w:pPr>
      <w:r>
        <w:t>Let the dominant image have a clear editorial crop and enough quiet space around it.</w:t>
      </w:r>
    </w:p>
    <w:p>
      <w:pPr>
        <w:pStyle w:val="ListBullet"/>
        <w:spacing w:after="80" w:line="300" w:lineRule="auto"/>
        <w:ind w:left="540" w:hanging="271"/>
      </w:pPr>
      <w:r>
        <w:t>Credit artists and builders when the release system treats the work as authored.</w:t>
      </w:r>
    </w:p>
    <w:p>
      <w:pPr>
        <w:pStyle w:val="ListBullet"/>
        <w:spacing w:after="80" w:line="300" w:lineRule="auto"/>
        <w:ind w:left="540" w:hanging="271"/>
      </w:pPr>
      <w:r>
        <w:t>Keep high-chroma imagery inside a neutral frame so color reads as content, not decoration.</w:t>
      </w:r>
    </w:p>
    <w:p>
      <w:pPr>
        <w:pStyle w:val="ListBullet"/>
        <w:spacing w:after="80" w:line="300" w:lineRule="auto"/>
        <w:ind w:left="540" w:hanging="271"/>
      </w:pPr>
      <w:r>
        <w:t>Avoid mixing multiple novelty styles in the same viewport.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200" w:type="dxa"/>
              <w:bottom w:w="150" w:type="dxa"/>
              <w:end w:w="200" w:type="dxa"/>
            </w:tcMar>
            <w:shd w:fill="FFF4C7"/>
            <w:tcBorders>
              <w:top w:val="single" w:sz="12" w:color="FFDC5C"/>
              <w:start w:val="nil"/>
              <w:bottom w:val="nil"/>
              <w:end w:val="nil"/>
            </w:tcBorders>
          </w:tcPr>
          <w:p>
            <w:pPr>
              <w:pStyle w:val="CalloutTitle"/>
            </w:pPr>
            <w:r>
              <w:rPr>
                <w:color w:val="1A1A1A"/>
              </w:rPr>
              <w:t>ARCHIVE PRACTICE</w:t>
            </w:r>
          </w:p>
          <w:p>
            <w:pPr>
              <w:spacing w:after="0"/>
            </w:pPr>
            <w:r>
              <w:t>Use the 563 preview images to browse visual families. Use images.csv to recover dimensions, IDs, original URLs, and usage context before choosing a production reference.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  <w:keepNext/>
      </w:pPr>
      <w:r>
        <w:t>08 / FOR OURS</w:t>
      </w:r>
    </w:p>
    <w:p>
      <w:pPr>
        <w:pStyle w:val="Heading1"/>
        <w:keepNext/>
      </w:pPr>
      <w:r>
        <w:t>Borrow the grammar, not the skin</w:t>
      </w:r>
    </w:p>
    <w:p>
      <w:pPr>
        <w:pStyle w:val="Deck"/>
        <w:keepNext w:val="0"/>
      </w:pPr>
      <w:r>
        <w:t>Dia is useful to Parosayshi because both can turn product history into authored physical evidence. The opportunity is translation, not imitation.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DIA GRAMMAR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PAROSAYSHI TRANSLATION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GUARDRAIL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Expressive cold open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One tactile or human gesture that names the project’s tension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Do not copy the scream or black hero literally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Editorial output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A proof card, field note, receipt, report, or annotated artifact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Use real case evidence, not ornamental filler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Mono provenance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Issue/date/version/role stamps on case-study objects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Keep it subordinate to the tactile object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Calm browser proof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Stable reader or device frame for decision evidence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Avoid over-polished SaaS mockup sameness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Release culture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Case notes and process drops that accumulate over time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Credit ownership and distinguish fact from contribution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One effect per viewport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Let a special interaction own the moment, then settle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Preserve the cutting mat, paper, folders, and reader</w:t>
            </w:r>
          </w:p>
        </w:tc>
      </w:tr>
    </w:tbl>
    <w:p>
      <w:pPr>
        <w:spacing w:after="0"/>
      </w:pPr>
    </w:p>
    <w:p>
      <w:pPr>
        <w:pStyle w:val="Heading2"/>
      </w:pPr>
      <w:r>
        <w:t>The strongest existing bridge</w:t>
      </w:r>
    </w:p>
    <w:p>
      <w:r>
        <w:t>The earlier Dia-inspired postcard direction already translated release-note metadata—issue, date, version, authorship—into a physical portfolio object. The next useful step is to turn that from a one-off reference into a reusable provenance layer for selected case studies, while keeping the existing material world dominant.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200" w:type="dxa"/>
              <w:bottom w:w="150" w:type="dxa"/>
              <w:end w:w="200" w:type="dxa"/>
            </w:tcMar>
            <w:shd w:fill="FFF4C7"/>
            <w:tcBorders>
              <w:top w:val="single" w:sz="12" w:color="FFDC5C"/>
              <w:start w:val="nil"/>
              <w:bottom w:val="nil"/>
              <w:end w:val="nil"/>
            </w:tcBorders>
          </w:tcPr>
          <w:p>
            <w:pPr>
              <w:pStyle w:val="CalloutTitle"/>
            </w:pPr>
            <w:r>
              <w:rPr>
                <w:color w:val="1A1A1A"/>
              </w:rPr>
              <w:t>DECISION</w:t>
            </w:r>
          </w:p>
          <w:p>
            <w:pPr>
              <w:spacing w:after="0"/>
            </w:pPr>
            <w:r>
              <w:t>Use Dia to sharpen hierarchy, provenance, and authored proof. Do not use it to replace Parosayshi’s tactile identity with a generic AI-browser aesthetic.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  <w:keepNext/>
      </w:pPr>
      <w:r>
        <w:t>09 / LINEAGE</w:t>
      </w:r>
    </w:p>
    <w:p>
      <w:pPr>
        <w:pStyle w:val="Heading1"/>
        <w:keepNext/>
      </w:pPr>
      <w:r>
        <w:t>The brand moved from possibility to utility to emotional relief</w:t>
      </w:r>
    </w:p>
    <w:p>
      <w:pPr>
        <w:pStyle w:val="Deck"/>
        <w:keepNext w:val="0"/>
      </w:pPr>
      <w:r>
        <w:t>History matters because the current system is not a visual reskin; it changes what Dia believes needs to be sold.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MOMENT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BRAND TASK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VISUAL / SYSTEM CUE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MESSAGE</w:t>
            </w:r>
          </w:p>
        </w:tc>
      </w:tr>
      <w:tr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2024-12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Recruiting / vision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Warm beige, GT Ultra Median, minimal page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Come build Dia</w:t>
            </w:r>
          </w:p>
        </w:tc>
      </w:tr>
      <w:tr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2025-05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Pre-beta / waitlist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Warm restraint; early audience activation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Stay in the loop</w:t>
            </w:r>
          </w:p>
        </w:tc>
      </w:tr>
      <w:tr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2025-06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Beta explanation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ABC Oracle, job-based sections, testimonials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Chat with your tabs</w:t>
            </w:r>
          </w:p>
        </w:tc>
      </w:tr>
      <w:tr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2025-11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General availability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Broader jobs-to-be-done; Arc provenance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Dia. Do it all.</w:t>
            </w:r>
          </w:p>
        </w:tc>
      </w:tr>
      <w:tr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2025-11 → 2026-07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Editorial shipping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Dia Weekly, issue/version metadata, credits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Release notes as publication</w:t>
            </w:r>
          </w:p>
        </w:tc>
      </w:tr>
      <w:tr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2026-08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Workday relief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Scream hero, reports, better-day narrative</w:t>
            </w:r>
          </w:p>
        </w:tc>
        <w:tc>
          <w:tcPr>
            <w:tcW w:type="dxa" w:w="234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Emotion → synthesis → readiness</w:t>
            </w:r>
          </w:p>
        </w:tc>
      </w:tr>
    </w:tbl>
    <w:p>
      <w:pPr>
        <w:spacing w:after="0"/>
      </w:pPr>
    </w:p>
    <w:p>
      <w:pPr>
        <w:pStyle w:val="Heading2"/>
      </w:pPr>
      <w:r>
        <w:t>What persisted</w:t>
      </w:r>
    </w:p>
    <w:p>
      <w:pPr>
        <w:pStyle w:val="ListBullet"/>
        <w:spacing w:after="80" w:line="300" w:lineRule="auto"/>
        <w:ind w:left="540" w:hanging="271"/>
      </w:pPr>
      <w:r>
        <w:t>Editorial serif authority, direct writing, and a belief that the browser can become a personal context layer.</w:t>
      </w:r>
    </w:p>
    <w:p>
      <w:pPr>
        <w:pStyle w:val="ListBullet"/>
        <w:spacing w:after="80" w:line="300" w:lineRule="auto"/>
        <w:ind w:left="540" w:hanging="271"/>
      </w:pPr>
      <w:r>
        <w:t>Warmth and humanity, even as the palette moved toward black, white, and more authored campaign worlds.</w:t>
      </w:r>
    </w:p>
    <w:p>
      <w:pPr>
        <w:pStyle w:val="ListBullet"/>
        <w:spacing w:after="80" w:line="300" w:lineRule="auto"/>
        <w:ind w:left="540" w:hanging="271"/>
      </w:pPr>
      <w:r>
        <w:t>A consistent refusal to make technical AI language the emotional center of the brand.</w:t>
      </w:r>
    </w:p>
    <w:p>
      <w:pPr>
        <w:pStyle w:val="Heading2"/>
      </w:pPr>
      <w:r>
        <w:t>What changed</w:t>
      </w:r>
    </w:p>
    <w:p>
      <w:pPr>
        <w:pStyle w:val="ListBullet"/>
        <w:spacing w:after="80" w:line="300" w:lineRule="auto"/>
        <w:ind w:left="540" w:hanging="271"/>
      </w:pPr>
      <w:r>
        <w:t>The promise narrowed from doing many things to feeling better prepared for the actual day.</w:t>
      </w:r>
    </w:p>
    <w:p>
      <w:pPr>
        <w:pStyle w:val="ListBullet"/>
        <w:spacing w:after="80" w:line="300" w:lineRule="auto"/>
        <w:ind w:left="540" w:hanging="271"/>
      </w:pPr>
      <w:r>
        <w:t>Feature explanation matured into output-led storytelling and an editorial release institution.</w:t>
      </w:r>
    </w:p>
    <w:p>
      <w:r>
        <w:br w:type="page"/>
      </w:r>
    </w:p>
    <w:p>
      <w:pPr>
        <w:pStyle w:val="Kicker"/>
        <w:keepNext/>
      </w:pPr>
      <w:r>
        <w:t>09 / LINEAGE</w:t>
      </w:r>
    </w:p>
    <w:p>
      <w:pPr>
        <w:pStyle w:val="Heading1"/>
        <w:keepNext/>
      </w:pPr>
      <w:r>
        <w:t>Selected archived states</w:t>
      </w:r>
    </w:p>
    <w:p>
      <w:pPr>
        <w:pStyle w:val="Deck"/>
        <w:keepNext w:val="0"/>
      </w:pPr>
      <w:r>
        <w:t>These are representative pivots, not every Wayback frame. The complete deduplicated capture index is retained in the archive.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start w:w="60" w:type="dxa"/>
              <w:bottom w:w="80" w:type="dxa"/>
              <w:end w:w="6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907381"/>
                  <wp:docPr id="9" name="Picture 9" descr="Archived December 2024 Dia recruiting page with Come build Dia headline." title="Archived December 2024 Dia recruiting page with Come build Dia headlin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4-12-02-wayback-launch-tease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073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hAnsi="Courier New"/>
                <w:color w:val="5D5D5D"/>
                <w:sz w:val="15"/>
              </w:rPr>
              <w:t>2024-12 / RECRUITING REVEAL</w:t>
            </w:r>
          </w:p>
        </w:tc>
        <w:tc>
          <w:tcPr>
            <w:tcW w:type="dxa" w:w="4680"/>
            <w:tcMar>
              <w:top w:w="60" w:type="dxa"/>
              <w:start w:w="60" w:type="dxa"/>
              <w:bottom w:w="80" w:type="dxa"/>
              <w:end w:w="6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100262"/>
                  <wp:docPr id="10" name="Picture 10" descr="Archived May 2025 Dia pre-beta page with warm gradient and waitlist message." title="Archived May 2025 Dia pre-beta page with warm gradient and waitlist messag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5-05-15-wayback-pre-bet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00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hAnsi="Courier New"/>
                <w:color w:val="5D5D5D"/>
                <w:sz w:val="15"/>
              </w:rPr>
              <w:t>2025-05 / PRE-BETA</w:t>
            </w:r>
          </w:p>
        </w:tc>
      </w:tr>
      <w:tr>
        <w:tc>
          <w:tcPr>
            <w:tcW w:type="dxa" w:w="4680"/>
            <w:tcMar>
              <w:top w:w="60" w:type="dxa"/>
              <w:start w:w="60" w:type="dxa"/>
              <w:bottom w:w="80" w:type="dxa"/>
              <w:end w:w="6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80126" cy="2103120"/>
                  <wp:docPr id="11" name="Picture 11" descr="Archived June 2025 Dia beta hero with Write with your tabs message." title="Archived June 2025 Dia beta hero with Write with your tabs messag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5-06-11-wayback-beta-launch-viewpor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126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hAnsi="Courier New"/>
                <w:color w:val="5D5D5D"/>
                <w:sz w:val="15"/>
              </w:rPr>
              <w:t>2025-06 / BETA LAUNCH</w:t>
            </w:r>
          </w:p>
        </w:tc>
        <w:tc>
          <w:tcPr>
            <w:tcW w:type="dxa" w:w="4680"/>
            <w:tcMar>
              <w:top w:w="60" w:type="dxa"/>
              <w:start w:w="60" w:type="dxa"/>
              <w:bottom w:w="80" w:type="dxa"/>
              <w:end w:w="6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80126" cy="2103120"/>
                  <wp:docPr id="12" name="Picture 12" descr="Archived November 2025 Dia homepage with download call to action." title="Archived November 2025 Dia homepage with download call to actio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5-11-20-wayback-home-viewpor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126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hAnsi="Courier New"/>
                <w:color w:val="5D5D5D"/>
                <w:sz w:val="15"/>
              </w:rPr>
              <w:t>2025-11 / GENERAL AVAILABILITY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200" w:type="dxa"/>
              <w:bottom w:w="150" w:type="dxa"/>
              <w:end w:w="200" w:type="dxa"/>
            </w:tcMar>
            <w:shd w:fill="FFF4C7"/>
            <w:tcBorders>
              <w:top w:val="single" w:sz="12" w:color="FFDC5C"/>
              <w:start w:val="nil"/>
              <w:bottom w:val="nil"/>
              <w:end w:val="nil"/>
            </w:tcBorders>
          </w:tcPr>
          <w:p>
            <w:pPr>
              <w:pStyle w:val="CalloutTitle"/>
            </w:pPr>
            <w:r>
              <w:rPr>
                <w:color w:val="1A1A1A"/>
              </w:rPr>
              <w:t>HISTORY WEIGHT</w:t>
            </w:r>
          </w:p>
          <w:p>
            <w:pPr>
              <w:spacing w:after="0"/>
            </w:pPr>
            <w:r>
              <w:t>The guide uses these states to explain lineage. It does not recommend returning to their warm-beige minimalism or their feature-by-feature launch structure.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  <w:keepNext/>
      </w:pPr>
      <w:r>
        <w:t>10 / ARCHIVE</w:t>
      </w:r>
    </w:p>
    <w:p>
      <w:pPr>
        <w:pStyle w:val="Heading1"/>
        <w:keepNext/>
      </w:pPr>
      <w:r>
        <w:t>What was captured and how to use it</w:t>
      </w:r>
    </w:p>
    <w:p>
      <w:pPr>
        <w:pStyle w:val="Deck"/>
        <w:keepNext w:val="0"/>
      </w:pPr>
      <w:r>
        <w:t>The archive is designed for browsing, tracing, and refreshing—not just storing screenshots.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PATH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CONTENTS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BEST USE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previews/images/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563 current content-linked previews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Visual browsing and contact-sheet work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manifests/images.csv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875 image asset records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IDs, dimensions, sizes, URLs, filenames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manifests/videos.csv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263 Mux video records / 2h 15m 26s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Stream and poster reference; motion audit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files/ + manifests/files.csv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16 public animation JSON files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Inspect motion assets and implementation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raw/sanity/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304 content docs plus asset records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Trace images and copy back to content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raw/site/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Current public HTML and CSS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Typography, color, layout, route, and code signals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raw/wayback/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7,902 deduplicated capture records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Historical discovery and missing-state lookup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analysis/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Copy corpus, records, stats, current brief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Language analysis and design synthesis</w:t>
            </w:r>
          </w:p>
        </w:tc>
      </w:tr>
      <w:tr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tools/collect-dia.mjs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Repeatable public collector</w:t>
            </w:r>
          </w:p>
        </w:tc>
        <w:tc>
          <w:tcPr>
            <w:tcW w:type="dxa" w:w="3120"/>
            <w:shd w:fill="FFFFFF"/>
            <w:tcBorders>
              <w:bottom w:val="single" w:sz="4" w:color="D9D9D9"/>
            </w:tcBorders>
          </w:tcPr>
          <w:p>
            <w:pPr>
              <w:spacing w:after="0"/>
            </w:pPr>
            <w:r>
              <w:rPr>
                <w:color w:val="1A1A1A"/>
                <w:sz w:val="17"/>
              </w:rPr>
              <w:t>Refresh the current snapshot later</w:t>
            </w:r>
          </w:p>
        </w:tc>
      </w:tr>
    </w:tbl>
    <w:p>
      <w:pPr>
        <w:spacing w:after="0"/>
      </w:pPr>
    </w:p>
    <w:p>
      <w:pPr>
        <w:pStyle w:val="Heading2"/>
      </w:pPr>
      <w:r>
        <w:t>Rights-aware handling</w:t>
      </w:r>
    </w:p>
    <w:p>
      <w:pPr>
        <w:pStyle w:val="ListBullet"/>
        <w:spacing w:after="80" w:line="300" w:lineRule="auto"/>
        <w:ind w:left="540" w:hanging="271"/>
      </w:pPr>
      <w:r>
        <w:t>Treat all Dia, artist, photographer, and product assets as references unless permission is confirmed.</w:t>
      </w:r>
    </w:p>
    <w:p>
      <w:pPr>
        <w:pStyle w:val="ListBullet"/>
        <w:spacing w:after="80" w:line="300" w:lineRule="auto"/>
        <w:ind w:left="540" w:hanging="271"/>
      </w:pPr>
      <w:r>
        <w:t>Use the font endpoint catalog to identify families; do not copy the commercial binaries.</w:t>
      </w:r>
    </w:p>
    <w:p>
      <w:pPr>
        <w:pStyle w:val="ListBullet"/>
        <w:spacing w:after="80" w:line="300" w:lineRule="auto"/>
        <w:ind w:left="540" w:hanging="271"/>
      </w:pPr>
      <w:r>
        <w:t>Prefer transformed previews for research and recover original URLs from the manifests only when needed.</w:t>
      </w:r>
    </w:p>
    <w:p>
      <w:pPr>
        <w:pStyle w:val="ListBullet"/>
        <w:spacing w:after="80" w:line="300" w:lineRule="auto"/>
        <w:ind w:left="540" w:hanging="271"/>
      </w:pPr>
      <w:r>
        <w:t>Re-run the collector before a consequential design decision; the public corpus is live and can change.</w:t>
      </w:r>
    </w:p>
    <w:p>
      <w:r>
        <w:br w:type="page"/>
      </w:r>
    </w:p>
    <w:p>
      <w:pPr>
        <w:pStyle w:val="Kicker"/>
        <w:keepNext/>
      </w:pPr>
      <w:r>
        <w:t>11 / SOURCES</w:t>
      </w:r>
    </w:p>
    <w:p>
      <w:pPr>
        <w:pStyle w:val="Heading1"/>
        <w:keepNext/>
      </w:pPr>
      <w:r>
        <w:t>Primary source atlas</w:t>
      </w:r>
    </w:p>
    <w:p>
      <w:pPr>
        <w:pStyle w:val="Deck"/>
        <w:keepNext w:val="0"/>
      </w:pPr>
      <w:r>
        <w:t>Official current pages, public structured data, and timestamped Wayback states form the evidence base. Company context is limited to official announcements.</w:t>
      </w:r>
    </w:p>
    <w:p>
      <w:pPr>
        <w:pStyle w:val="Heading2"/>
      </w:pPr>
      <w:r>
        <w:t>Current official surfaces</w:t>
      </w:r>
    </w:p>
    <w:p>
      <w:pPr>
        <w:spacing w:after="80"/>
        <w:ind w:left="360" w:hanging="360"/>
      </w:pPr>
      <w:r>
        <w:rPr>
          <w:b/>
        </w:rPr>
        <w:t xml:space="preserve">S1  </w:t>
      </w:r>
      <w:hyperlink r:id="rId23">
        <w:r>
          <w:rPr>
            <w:color w:val="2E74B5"/>
            <w:u w:val="single"/>
          </w:rPr>
          <w:t>Dia homepage</w:t>
        </w:r>
      </w:hyperlink>
    </w:p>
    <w:p>
      <w:pPr>
        <w:spacing w:after="80"/>
        <w:ind w:left="360" w:hanging="360"/>
      </w:pPr>
      <w:r>
        <w:rPr>
          <w:b/>
        </w:rPr>
        <w:t xml:space="preserve">S2  </w:t>
      </w:r>
      <w:hyperlink r:id="rId24">
        <w:r>
          <w:rPr>
            <w:color w:val="2E74B5"/>
            <w:u w:val="single"/>
          </w:rPr>
          <w:t>Dia Weekly / latest release notes</w:t>
        </w:r>
      </w:hyperlink>
    </w:p>
    <w:p>
      <w:pPr>
        <w:spacing w:after="80"/>
        <w:ind w:left="360" w:hanging="360"/>
      </w:pPr>
      <w:r>
        <w:rPr>
          <w:b/>
        </w:rPr>
        <w:t xml:space="preserve">S3  </w:t>
      </w:r>
      <w:hyperlink r:id="rId25">
        <w:r>
          <w:rPr>
            <w:color w:val="2E74B5"/>
            <w:u w:val="single"/>
          </w:rPr>
          <w:t>Introducing Reports / Start</w:t>
        </w:r>
      </w:hyperlink>
    </w:p>
    <w:p>
      <w:pPr>
        <w:spacing w:after="80"/>
        <w:ind w:left="360" w:hanging="360"/>
      </w:pPr>
      <w:r>
        <w:rPr>
          <w:b/>
        </w:rPr>
        <w:t xml:space="preserve">S4  </w:t>
      </w:r>
      <w:hyperlink r:id="rId26">
        <w:r>
          <w:rPr>
            <w:color w:val="2E74B5"/>
            <w:u w:val="single"/>
          </w:rPr>
          <w:t>Dia for Work</w:t>
        </w:r>
      </w:hyperlink>
    </w:p>
    <w:p>
      <w:pPr>
        <w:spacing w:after="80"/>
        <w:ind w:left="360" w:hanging="360"/>
      </w:pPr>
      <w:r>
        <w:rPr>
          <w:b/>
        </w:rPr>
        <w:t xml:space="preserve">S5  </w:t>
      </w:r>
      <w:hyperlink r:id="rId27">
        <w:r>
          <w:rPr>
            <w:color w:val="2E74B5"/>
            <w:u w:val="single"/>
          </w:rPr>
          <w:t>Dia for Students</w:t>
        </w:r>
      </w:hyperlink>
    </w:p>
    <w:p>
      <w:pPr>
        <w:spacing w:after="80"/>
        <w:ind w:left="360" w:hanging="360"/>
      </w:pPr>
      <w:r>
        <w:rPr>
          <w:b/>
        </w:rPr>
        <w:t xml:space="preserve">S6  </w:t>
      </w:r>
      <w:hyperlink r:id="rId28">
        <w:r>
          <w:rPr>
            <w:color w:val="2E74B5"/>
            <w:u w:val="single"/>
          </w:rPr>
          <w:t>Dia Skills Gallery</w:t>
        </w:r>
      </w:hyperlink>
    </w:p>
    <w:p>
      <w:pPr>
        <w:spacing w:after="80"/>
        <w:ind w:left="360" w:hanging="360"/>
      </w:pPr>
      <w:r>
        <w:rPr>
          <w:b/>
        </w:rPr>
        <w:t xml:space="preserve">S7  </w:t>
      </w:r>
      <w:hyperlink r:id="rId29">
        <w:r>
          <w:rPr>
            <w:color w:val="2E74B5"/>
            <w:u w:val="single"/>
          </w:rPr>
          <w:t>Dia Security</w:t>
        </w:r>
      </w:hyperlink>
    </w:p>
    <w:p>
      <w:pPr>
        <w:spacing w:after="80"/>
        <w:ind w:left="360" w:hanging="360"/>
      </w:pPr>
      <w:r>
        <w:rPr>
          <w:b/>
        </w:rPr>
        <w:t xml:space="preserve">S8  </w:t>
      </w:r>
      <w:hyperlink r:id="rId30">
        <w:r>
          <w:rPr>
            <w:color w:val="2E74B5"/>
            <w:u w:val="single"/>
          </w:rPr>
          <w:t>Dia Privacy</w:t>
        </w:r>
      </w:hyperlink>
    </w:p>
    <w:p>
      <w:pPr>
        <w:pStyle w:val="Heading2"/>
      </w:pPr>
      <w:r>
        <w:t>Official history and company context</w:t>
      </w:r>
    </w:p>
    <w:p>
      <w:pPr>
        <w:spacing w:after="80"/>
        <w:ind w:left="360" w:hanging="360"/>
      </w:pPr>
      <w:r>
        <w:rPr>
          <w:b/>
        </w:rPr>
        <w:t xml:space="preserve">S9  </w:t>
      </w:r>
      <w:hyperlink r:id="rId31">
        <w:r>
          <w:rPr>
            <w:color w:val="2E74B5"/>
            <w:u w:val="single"/>
          </w:rPr>
          <w:t>Early peek at Dia — recruiting video</w:t>
        </w:r>
      </w:hyperlink>
    </w:p>
    <w:p>
      <w:pPr>
        <w:spacing w:after="80"/>
        <w:ind w:left="360" w:hanging="360"/>
      </w:pPr>
      <w:r>
        <w:rPr>
          <w:b/>
        </w:rPr>
        <w:t xml:space="preserve">S10  </w:t>
      </w:r>
      <w:hyperlink r:id="rId32">
        <w:r>
          <w:rPr>
            <w:color w:val="2E74B5"/>
            <w:u w:val="single"/>
          </w:rPr>
          <w:t>Letter to Arc members — The Browser Company</w:t>
        </w:r>
      </w:hyperlink>
    </w:p>
    <w:p>
      <w:pPr>
        <w:spacing w:after="80"/>
        <w:ind w:left="360" w:hanging="360"/>
      </w:pPr>
      <w:r>
        <w:rPr>
          <w:b/>
        </w:rPr>
        <w:t xml:space="preserve">S11  </w:t>
      </w:r>
      <w:hyperlink r:id="rId33">
        <w:r>
          <w:rPr>
            <w:color w:val="2E74B5"/>
            <w:u w:val="single"/>
          </w:rPr>
          <w:t>Atlassian acquisition announcement</w:t>
        </w:r>
      </w:hyperlink>
    </w:p>
    <w:p>
      <w:pPr>
        <w:pStyle w:val="Heading2"/>
      </w:pPr>
      <w:r>
        <w:t>Selected Wayback states</w:t>
      </w:r>
    </w:p>
    <w:p>
      <w:pPr>
        <w:spacing w:after="80"/>
        <w:ind w:left="360" w:hanging="360"/>
      </w:pPr>
      <w:r>
        <w:rPr>
          <w:b/>
        </w:rPr>
        <w:t xml:space="preserve">W1  </w:t>
      </w:r>
      <w:hyperlink r:id="rId34">
        <w:r>
          <w:rPr>
            <w:color w:val="2E74B5"/>
            <w:u w:val="single"/>
          </w:rPr>
          <w:t>2024-12-02 Dia public reveal</w:t>
        </w:r>
      </w:hyperlink>
    </w:p>
    <w:p>
      <w:pPr>
        <w:spacing w:after="80"/>
        <w:ind w:left="360" w:hanging="360"/>
      </w:pPr>
      <w:r>
        <w:rPr>
          <w:b/>
        </w:rPr>
        <w:t xml:space="preserve">W2  </w:t>
      </w:r>
      <w:hyperlink r:id="rId35">
        <w:r>
          <w:rPr>
            <w:color w:val="2E74B5"/>
            <w:u w:val="single"/>
          </w:rPr>
          <w:t>2025-05-15 pre-beta</w:t>
        </w:r>
      </w:hyperlink>
    </w:p>
    <w:p>
      <w:pPr>
        <w:spacing w:after="80"/>
        <w:ind w:left="360" w:hanging="360"/>
      </w:pPr>
      <w:r>
        <w:rPr>
          <w:b/>
        </w:rPr>
        <w:t xml:space="preserve">W3  </w:t>
      </w:r>
      <w:hyperlink r:id="rId36">
        <w:r>
          <w:rPr>
            <w:color w:val="2E74B5"/>
            <w:u w:val="single"/>
          </w:rPr>
          <w:t>2025-06-11 beta launch</w:t>
        </w:r>
      </w:hyperlink>
    </w:p>
    <w:p>
      <w:pPr>
        <w:spacing w:after="80"/>
        <w:ind w:left="360" w:hanging="360"/>
      </w:pPr>
      <w:r>
        <w:rPr>
          <w:b/>
        </w:rPr>
        <w:t xml:space="preserve">W4  </w:t>
      </w:r>
      <w:hyperlink r:id="rId37">
        <w:r>
          <w:rPr>
            <w:color w:val="2E74B5"/>
            <w:u w:val="single"/>
          </w:rPr>
          <w:t>2025-11-20 general-availability-era home</w:t>
        </w:r>
      </w:hyperlink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200" w:type="dxa"/>
              <w:bottom w:w="150" w:type="dxa"/>
              <w:end w:w="200" w:type="dxa"/>
            </w:tcMar>
            <w:shd w:fill="FFF4C7"/>
            <w:tcBorders>
              <w:top w:val="single" w:sz="12" w:color="FFDC5C"/>
              <w:start w:val="nil"/>
              <w:bottom w:val="nil"/>
              <w:end w:val="nil"/>
            </w:tcBorders>
          </w:tcPr>
          <w:p>
            <w:pPr>
              <w:pStyle w:val="CalloutTitle"/>
            </w:pPr>
            <w:r>
              <w:rPr>
                <w:color w:val="1A1A1A"/>
              </w:rPr>
              <w:t>OBSERVATION DATE</w:t>
            </w:r>
          </w:p>
          <w:p>
            <w:pPr>
              <w:spacing w:after="0"/>
            </w:pPr>
            <w:r>
              <w:t>Current-page claims, counts, and screenshots in this guide were observed or collected on 2026-08-03. Refresh before treating them as present-day facts.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urier New" w:hAnsi="Courier New"/>
        <w:color w:val="777777"/>
        <w:sz w:val="15"/>
      </w:rPr>
      <w:t xml:space="preserve">PUBLIC-WEB RESEARCH  · 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ourier New" w:hAnsi="Courier New"/>
        <w:color w:val="777777"/>
        <w:sz w:val="15"/>
      </w:rPr>
      <w:t>DIA / PUBLIC BRAND REFERENCE / 2026-08-03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 Title"/>
    <w:pPr>
      <w:spacing w:after="240"/>
    </w:pPr>
    <w:rPr>
      <w:rFonts w:ascii="Georgia" w:hAnsi="Georgia"/>
      <w:b/>
      <w:color w:val="FFFFFF"/>
      <w:sz w:val="62"/>
    </w:rPr>
  </w:style>
  <w:style w:type="paragraph" w:customStyle="1" w:styleId="CoverDeck">
    <w:name w:val="Cover Deck"/>
    <w:pPr>
      <w:spacing w:after="240" w:line="283" w:lineRule="auto"/>
    </w:pPr>
    <w:rPr>
      <w:rFonts w:ascii="Calibri" w:hAnsi="Calibri"/>
      <w:color w:val="D9D9D9"/>
      <w:sz w:val="24"/>
    </w:rPr>
  </w:style>
  <w:style w:type="paragraph" w:customStyle="1" w:styleId="Kicker">
    <w:name w:val="Kicker"/>
    <w:pPr>
      <w:spacing w:after="100"/>
    </w:pPr>
    <w:rPr>
      <w:rFonts w:ascii="Courier New" w:hAnsi="Courier New"/>
      <w:b/>
      <w:color w:val="5D5D5D"/>
      <w:sz w:val="16"/>
    </w:rPr>
  </w:style>
  <w:style w:type="paragraph" w:customStyle="1" w:styleId="Deck">
    <w:name w:val="Deck"/>
    <w:pPr>
      <w:spacing w:after="240" w:line="276" w:lineRule="auto"/>
    </w:pPr>
    <w:rPr>
      <w:rFonts w:ascii="Georgia" w:hAnsi="Georgia"/>
      <w:i/>
      <w:color w:val="5D5D5D"/>
      <w:sz w:val="24"/>
    </w:rPr>
  </w:style>
  <w:style w:type="paragraph" w:customStyle="1" w:styleId="FigureCaption">
    <w:name w:val="Figure Caption"/>
    <w:pPr>
      <w:keepNext w:val="0"/>
      <w:spacing w:after="160"/>
    </w:pPr>
    <w:rPr>
      <w:rFonts w:ascii="Calibri" w:hAnsi="Calibri"/>
      <w:i/>
      <w:color w:val="5D5D5D"/>
      <w:sz w:val="17"/>
    </w:rPr>
  </w:style>
  <w:style w:type="paragraph" w:customStyle="1" w:styleId="CalloutTitle">
    <w:name w:val="Callout Title"/>
    <w:pPr>
      <w:spacing w:after="80"/>
    </w:pPr>
    <w:rPr>
      <w:rFonts w:ascii="Courier New" w:hAnsi="Courier New"/>
      <w:b/>
      <w:color w:val="1A1A1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hyperlink" Target="https://www.diabrowser.com/" TargetMode="External"/><Relationship Id="rId24" Type="http://schemas.openxmlformats.org/officeDocument/2006/relationships/hyperlink" Target="https://www.diabrowser.com/release-notes/latest" TargetMode="External"/><Relationship Id="rId25" Type="http://schemas.openxmlformats.org/officeDocument/2006/relationships/hyperlink" Target="https://www.diabrowser.com/start" TargetMode="External"/><Relationship Id="rId26" Type="http://schemas.openxmlformats.org/officeDocument/2006/relationships/hyperlink" Target="https://www.diabrowser.com/forwork" TargetMode="External"/><Relationship Id="rId27" Type="http://schemas.openxmlformats.org/officeDocument/2006/relationships/hyperlink" Target="https://www.diabrowser.com/students" TargetMode="External"/><Relationship Id="rId28" Type="http://schemas.openxmlformats.org/officeDocument/2006/relationships/hyperlink" Target="https://www.diabrowser.com/skills" TargetMode="External"/><Relationship Id="rId29" Type="http://schemas.openxmlformats.org/officeDocument/2006/relationships/hyperlink" Target="https://www.diabrowser.com/security" TargetMode="External"/><Relationship Id="rId30" Type="http://schemas.openxmlformats.org/officeDocument/2006/relationships/hyperlink" Target="https://www.diabrowser.com/privacy" TargetMode="External"/><Relationship Id="rId31" Type="http://schemas.openxmlformats.org/officeDocument/2006/relationships/hyperlink" Target="https://www.youtube.com/watch?v=C25g53PC5QQ" TargetMode="External"/><Relationship Id="rId32" Type="http://schemas.openxmlformats.org/officeDocument/2006/relationships/hyperlink" Target="https://browsercompany.substack.com/p/letter-to-arc-members-2025" TargetMode="External"/><Relationship Id="rId33" Type="http://schemas.openxmlformats.org/officeDocument/2006/relationships/hyperlink" Target="https://www.atlassian.com/blog/announcements/atlassian-acquires-the-browser-company" TargetMode="External"/><Relationship Id="rId34" Type="http://schemas.openxmlformats.org/officeDocument/2006/relationships/hyperlink" Target="https://web.archive.org/web/20241202145719id_/https://www.diabrowser.com/" TargetMode="External"/><Relationship Id="rId35" Type="http://schemas.openxmlformats.org/officeDocument/2006/relationships/hyperlink" Target="https://web.archive.org/web/20250515024755id_/https://www.diabrowser.com/" TargetMode="External"/><Relationship Id="rId36" Type="http://schemas.openxmlformats.org/officeDocument/2006/relationships/hyperlink" Target="https://web.archive.org/web/20250611184246id_/https://www.diabrowser.com/" TargetMode="External"/><Relationship Id="rId37" Type="http://schemas.openxmlformats.org/officeDocument/2006/relationships/hyperlink" Target="https://web.archive.org/web/20251120012357id_/https://www.diabrows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 — Current Brand System &amp; Public Asset Atlas</dc:title>
  <dc:subject>Public-web design research, current-state weighted</dc:subject>
  <dc:creator>Paro / Codex research collaboration</dc:creator>
  <cp:keywords>Dia, Browser Company, brand, design system, asset archive, typography, voice, release notes</cp:keywords>
  <dc:description>Base preset: compact_reference_guide. Named Dia accent override: near-black headings, warm-white grounds, yellow callouts, editorial cover.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