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EC7A" w14:textId="77777777" w:rsidR="00EE40EA" w:rsidRDefault="00EE40EA">
      <w:pPr>
        <w:spacing w:after="600"/>
      </w:pPr>
    </w:p>
    <w:p w14:paraId="59A0B83F" w14:textId="77777777" w:rsidR="00EE40EA" w:rsidRDefault="00000000">
      <w:pPr>
        <w:spacing w:after="160"/>
        <w:jc w:val="center"/>
      </w:pPr>
      <w:proofErr w:type="spellStart"/>
      <w:r>
        <w:rPr>
          <w:b/>
          <w:bCs/>
          <w:color w:val="1B6B74"/>
          <w:sz w:val="52"/>
          <w:szCs w:val="52"/>
        </w:rPr>
        <w:t>DataView</w:t>
      </w:r>
      <w:proofErr w:type="spellEnd"/>
      <w:r>
        <w:rPr>
          <w:b/>
          <w:bCs/>
          <w:color w:val="1B6B74"/>
          <w:sz w:val="52"/>
          <w:szCs w:val="52"/>
        </w:rPr>
        <w:t xml:space="preserve"> v3</w:t>
      </w:r>
    </w:p>
    <w:p w14:paraId="05C91E02" w14:textId="77777777" w:rsidR="00EE40EA" w:rsidRDefault="00000000">
      <w:pPr>
        <w:spacing w:after="100"/>
        <w:jc w:val="center"/>
      </w:pPr>
      <w:r>
        <w:rPr>
          <w:color w:val="1A1A1A"/>
          <w:sz w:val="38"/>
          <w:szCs w:val="38"/>
        </w:rPr>
        <w:t>Well Map &amp; Spatial Query Engine</w:t>
      </w:r>
    </w:p>
    <w:p w14:paraId="0F90F365" w14:textId="77777777" w:rsidR="00EE40EA" w:rsidRDefault="00000000">
      <w:pPr>
        <w:spacing w:after="600"/>
        <w:jc w:val="center"/>
      </w:pPr>
      <w:r>
        <w:rPr>
          <w:i/>
          <w:iCs/>
          <w:color w:val="777777"/>
          <w:sz w:val="28"/>
          <w:szCs w:val="28"/>
        </w:rPr>
        <w:t>Specification Document</w:t>
      </w:r>
    </w:p>
    <w:p w14:paraId="46D613CD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1DC27C76" w14:textId="77777777" w:rsidR="00EE40EA" w:rsidRDefault="00EE40EA">
      <w:pPr>
        <w:spacing w:after="240"/>
      </w:pPr>
    </w:p>
    <w:p w14:paraId="492D7E4D" w14:textId="77777777" w:rsidR="00EE40EA" w:rsidRDefault="00000000">
      <w:pPr>
        <w:spacing w:after="600"/>
        <w:jc w:val="center"/>
      </w:pPr>
      <w:r>
        <w:rPr>
          <w:color w:val="777777"/>
        </w:rPr>
        <w:t>Schema-Adaptive Architecture · Spatial Grid Indexing · Multi-Region · Large Dataset Performance</w:t>
      </w:r>
    </w:p>
    <w:p w14:paraId="71533C17" w14:textId="77777777" w:rsidR="00EE40EA" w:rsidRDefault="00EE40EA">
      <w:pPr>
        <w:spacing w:after="480"/>
      </w:pPr>
    </w:p>
    <w:p w14:paraId="213542AE" w14:textId="77777777" w:rsidR="00EE40EA" w:rsidRDefault="00000000">
      <w:pPr>
        <w:jc w:val="center"/>
      </w:pPr>
      <w:r>
        <w:rPr>
          <w:color w:val="777777"/>
          <w:sz w:val="20"/>
          <w:szCs w:val="20"/>
        </w:rPr>
        <w:t>May 15, 2026</w:t>
      </w:r>
    </w:p>
    <w:p w14:paraId="134BDEA9" w14:textId="77777777" w:rsidR="00EE40EA" w:rsidRDefault="00EE40EA">
      <w:pPr>
        <w:spacing w:after="120"/>
      </w:pPr>
    </w:p>
    <w:p w14:paraId="60A9BDE1" w14:textId="77777777" w:rsidR="00EE40EA" w:rsidRDefault="00000000">
      <w:pPr>
        <w:jc w:val="center"/>
      </w:pPr>
      <w:proofErr w:type="spellStart"/>
      <w:r>
        <w:rPr>
          <w:color w:val="1B6B74"/>
          <w:sz w:val="20"/>
          <w:szCs w:val="20"/>
        </w:rPr>
        <w:t>DataView</w:t>
      </w:r>
      <w:proofErr w:type="spellEnd"/>
      <w:r>
        <w:rPr>
          <w:color w:val="1B6B74"/>
          <w:sz w:val="20"/>
          <w:szCs w:val="20"/>
        </w:rPr>
        <w:t xml:space="preserve"> </w:t>
      </w:r>
      <w:proofErr w:type="gramStart"/>
      <w:r>
        <w:rPr>
          <w:color w:val="1B6B74"/>
          <w:sz w:val="20"/>
          <w:szCs w:val="20"/>
        </w:rPr>
        <w:t>Solutions  ·</w:t>
      </w:r>
      <w:proofErr w:type="gramEnd"/>
      <w:r>
        <w:rPr>
          <w:color w:val="1B6B74"/>
          <w:sz w:val="20"/>
          <w:szCs w:val="20"/>
        </w:rPr>
        <w:t xml:space="preserve">  datawranglersolutions.com</w:t>
      </w:r>
    </w:p>
    <w:p w14:paraId="6AE63B53" w14:textId="77777777" w:rsidR="00EE40EA" w:rsidRDefault="00000000">
      <w:r>
        <w:br w:type="page"/>
      </w:r>
    </w:p>
    <w:p w14:paraId="1D7ED026" w14:textId="77777777" w:rsidR="00EE40EA" w:rsidRDefault="00000000">
      <w:pPr>
        <w:pStyle w:val="Heading1"/>
      </w:pPr>
      <w:r>
        <w:lastRenderedPageBreak/>
        <w:t>Overview</w:t>
      </w:r>
    </w:p>
    <w:p w14:paraId="2503F1FC" w14:textId="77777777" w:rsidR="00EE40EA" w:rsidRDefault="00000000">
      <w:pPr>
        <w:spacing w:before="60" w:after="100"/>
      </w:pPr>
      <w:r>
        <w:t xml:space="preserve">The </w:t>
      </w:r>
      <w:proofErr w:type="spellStart"/>
      <w:r>
        <w:t>DataView</w:t>
      </w:r>
      <w:proofErr w:type="spellEnd"/>
      <w:r>
        <w:t xml:space="preserve"> v3 Well Map is a schema-adaptive spatial query engine built on </w:t>
      </w:r>
      <w:proofErr w:type="spellStart"/>
      <w:r>
        <w:t>Streamlit</w:t>
      </w:r>
      <w:proofErr w:type="spellEnd"/>
      <w:r>
        <w:t xml:space="preserve">, Folium, and SQL Server. It </w:t>
      </w:r>
      <w:proofErr w:type="gramStart"/>
      <w:r>
        <w:t>renders petroleum well</w:t>
      </w:r>
      <w:proofErr w:type="gramEnd"/>
      <w:r>
        <w:t xml:space="preserve"> data from any number of regional schemas simultaneously, handles datasets exceeding 4 million records, and provides interactive spatial selection — all without requiring a dedicated GIS server or spatial database extension.</w:t>
      </w:r>
    </w:p>
    <w:p w14:paraId="23672285" w14:textId="77777777" w:rsidR="00EE40EA" w:rsidRDefault="00EE40EA">
      <w:pPr>
        <w:spacing w:after="120"/>
      </w:pPr>
    </w:p>
    <w:p w14:paraId="46A41737" w14:textId="77777777" w:rsidR="00EE40EA" w:rsidRDefault="00000000">
      <w:pPr>
        <w:spacing w:before="60" w:after="100"/>
      </w:pPr>
      <w:r>
        <w:t>The map is not a static display of pre-loaded data. It is a live query interface: every pan, zoom, and selection triggers a targeted SQL query against the connected database, returning only the data needed for the current view. Aggressive caching means repeated queries are instant, and the spatial grid architecture means even a 55,000-well offshore dataset renders in seconds as a heatmap.</w:t>
      </w:r>
    </w:p>
    <w:p w14:paraId="201B7D16" w14:textId="77777777" w:rsidR="00EE40EA" w:rsidRDefault="00EE40EA">
      <w:pPr>
        <w:spacing w:after="120"/>
      </w:pPr>
    </w:p>
    <w:p w14:paraId="599A823E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178368C8" w14:textId="77777777" w:rsidR="00EE40EA" w:rsidRDefault="00000000">
      <w:pPr>
        <w:pStyle w:val="Heading1"/>
      </w:pPr>
      <w:r>
        <w:t>1</w:t>
      </w:r>
      <w:proofErr w:type="gramStart"/>
      <w:r>
        <w:t>.  Schema</w:t>
      </w:r>
      <w:proofErr w:type="gramEnd"/>
      <w:r>
        <w:t>-Adaptive Architecture</w:t>
      </w:r>
    </w:p>
    <w:p w14:paraId="2757757C" w14:textId="77777777" w:rsidR="00EE40EA" w:rsidRDefault="00000000">
      <w:pPr>
        <w:spacing w:before="60" w:after="100"/>
      </w:pPr>
      <w:proofErr w:type="gramStart"/>
      <w:r>
        <w:t>Most well</w:t>
      </w:r>
      <w:proofErr w:type="gramEnd"/>
      <w:r>
        <w:t xml:space="preserve"> map tools are hardcoded to one database schema. </w:t>
      </w:r>
      <w:proofErr w:type="spellStart"/>
      <w:r>
        <w:t>DataView's</w:t>
      </w:r>
      <w:proofErr w:type="spellEnd"/>
      <w:r>
        <w:t xml:space="preserve"> map is driven by an AREAS configuration that maps each geographic region to its own schema, query functions, and rendering style. Adding a new region requires adding one entry to the AREAS list — no other code changes.</w:t>
      </w:r>
    </w:p>
    <w:p w14:paraId="6142CBB2" w14:textId="77777777" w:rsidR="00EE40EA" w:rsidRDefault="00EE40EA">
      <w:pPr>
        <w:spacing w:after="120"/>
      </w:pPr>
    </w:p>
    <w:p w14:paraId="5A8D479A" w14:textId="77777777" w:rsidR="00EE40EA" w:rsidRDefault="00000000">
      <w:pPr>
        <w:pStyle w:val="Heading2"/>
      </w:pPr>
      <w:proofErr w:type="gramStart"/>
      <w:r>
        <w:t>1.1  Area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40EA" w14:paraId="2B02F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7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900B3E9" w14:textId="77777777" w:rsidR="00EE40EA" w:rsidRDefault="00000000">
            <w:r>
              <w:rPr>
                <w:b/>
                <w:bCs/>
                <w:color w:val="FFFFFF"/>
              </w:rPr>
              <w:t>AREAS Configuration — Current Regions</w:t>
            </w:r>
          </w:p>
        </w:tc>
      </w:tr>
      <w:tr w:rsidR="00EE40EA" w14:paraId="4953C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E824E0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All Regions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DB6238" w14:textId="77777777" w:rsidR="00EE40EA" w:rsidRDefault="00000000">
            <w:r>
              <w:rPr>
                <w:sz w:val="20"/>
                <w:szCs w:val="20"/>
              </w:rPr>
              <w:t xml:space="preserve">sources: [main, </w:t>
            </w:r>
            <w:proofErr w:type="spellStart"/>
            <w:proofErr w:type="gramStart"/>
            <w:r>
              <w:rPr>
                <w:sz w:val="20"/>
                <w:szCs w:val="20"/>
              </w:rPr>
              <w:t>gom</w:t>
            </w:r>
            <w:proofErr w:type="spellEnd"/>
            <w:r>
              <w:rPr>
                <w:sz w:val="20"/>
                <w:szCs w:val="20"/>
              </w:rPr>
              <w:t>] —</w:t>
            </w:r>
            <w:proofErr w:type="gramEnd"/>
            <w:r>
              <w:rPr>
                <w:sz w:val="20"/>
                <w:szCs w:val="20"/>
              </w:rPr>
              <w:t xml:space="preserve"> renders both </w:t>
            </w:r>
            <w:proofErr w:type="spellStart"/>
            <w:r>
              <w:rPr>
                <w:sz w:val="20"/>
                <w:szCs w:val="20"/>
              </w:rPr>
              <w:t>dataview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dv_well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dataview_gom</w:t>
            </w:r>
            <w:proofErr w:type="spellEnd"/>
            <w:r>
              <w:rPr>
                <w:sz w:val="20"/>
                <w:szCs w:val="20"/>
              </w:rPr>
              <w:t xml:space="preserve"> (well) simultaneously. Grid uses the finer 0.035° step for mixed-region views.</w:t>
            </w:r>
          </w:p>
        </w:tc>
      </w:tr>
      <w:tr w:rsidR="00EE40EA" w14:paraId="4EF0B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ADF65F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Gulf of America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D17135" w14:textId="77777777" w:rsidR="00EE40EA" w:rsidRDefault="00000000">
            <w:r>
              <w:rPr>
                <w:sz w:val="20"/>
                <w:szCs w:val="20"/>
              </w:rPr>
              <w:t>sources: [</w:t>
            </w:r>
            <w:proofErr w:type="spellStart"/>
            <w:proofErr w:type="gramStart"/>
            <w:r>
              <w:rPr>
                <w:sz w:val="20"/>
                <w:szCs w:val="20"/>
              </w:rPr>
              <w:t>gom</w:t>
            </w:r>
            <w:proofErr w:type="spellEnd"/>
            <w:r>
              <w:rPr>
                <w:sz w:val="20"/>
                <w:szCs w:val="20"/>
              </w:rPr>
              <w:t>] —</w:t>
            </w:r>
            <w:proofErr w:type="gramEnd"/>
            <w:r>
              <w:rPr>
                <w:sz w:val="20"/>
                <w:szCs w:val="20"/>
              </w:rPr>
              <w:t xml:space="preserve"> reads from </w:t>
            </w:r>
            <w:proofErr w:type="spellStart"/>
            <w:r>
              <w:rPr>
                <w:sz w:val="20"/>
                <w:szCs w:val="20"/>
              </w:rPr>
              <w:t>dataview_</w:t>
            </w:r>
            <w:proofErr w:type="gramStart"/>
            <w:r>
              <w:rPr>
                <w:sz w:val="20"/>
                <w:szCs w:val="20"/>
              </w:rPr>
              <w:t>gom.well</w:t>
            </w:r>
            <w:proofErr w:type="spellEnd"/>
            <w:proofErr w:type="gramEnd"/>
            <w:r>
              <w:rPr>
                <w:sz w:val="20"/>
                <w:szCs w:val="20"/>
              </w:rPr>
              <w:t>. Uses 0.36° grid step (coarser, appropriate for offshore block scale). BOEM status codes with color-coded markers.</w:t>
            </w:r>
          </w:p>
        </w:tc>
      </w:tr>
      <w:tr w:rsidR="00EE40EA" w14:paraId="38012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C7FA22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West Texas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9D3A8D8" w14:textId="77777777" w:rsidR="00EE40EA" w:rsidRDefault="00000000">
            <w:r>
              <w:rPr>
                <w:sz w:val="20"/>
                <w:szCs w:val="20"/>
              </w:rPr>
              <w:t>sources: [</w:t>
            </w:r>
            <w:proofErr w:type="gramStart"/>
            <w:r>
              <w:rPr>
                <w:sz w:val="20"/>
                <w:szCs w:val="20"/>
              </w:rPr>
              <w:t>main] —</w:t>
            </w:r>
            <w:proofErr w:type="gramEnd"/>
            <w:r>
              <w:rPr>
                <w:sz w:val="20"/>
                <w:szCs w:val="20"/>
              </w:rPr>
              <w:t xml:space="preserve"> reads from </w:t>
            </w:r>
            <w:proofErr w:type="spellStart"/>
            <w:proofErr w:type="gramStart"/>
            <w:r>
              <w:rPr>
                <w:sz w:val="20"/>
                <w:szCs w:val="20"/>
              </w:rPr>
              <w:t>dataview.dv</w:t>
            </w:r>
            <w:proofErr w:type="gramEnd"/>
            <w:r>
              <w:rPr>
                <w:sz w:val="20"/>
                <w:szCs w:val="20"/>
              </w:rPr>
              <w:t>_well</w:t>
            </w:r>
            <w:proofErr w:type="spellEnd"/>
            <w:r>
              <w:rPr>
                <w:sz w:val="20"/>
                <w:szCs w:val="20"/>
              </w:rPr>
              <w:t>. Uses 0.035° grid step (~3.9 km cells). KGS/RRC well data with standard status classification.</w:t>
            </w:r>
          </w:p>
        </w:tc>
      </w:tr>
      <w:tr w:rsidR="00EE40EA" w14:paraId="3D742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01BCA42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Kansas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2AFE8C" w14:textId="77777777" w:rsidR="00EE40EA" w:rsidRDefault="00000000">
            <w:r>
              <w:rPr>
                <w:sz w:val="20"/>
                <w:szCs w:val="20"/>
              </w:rPr>
              <w:t>sources: [</w:t>
            </w:r>
            <w:proofErr w:type="gramStart"/>
            <w:r>
              <w:rPr>
                <w:sz w:val="20"/>
                <w:szCs w:val="20"/>
              </w:rPr>
              <w:t>main] —</w:t>
            </w:r>
            <w:proofErr w:type="gramEnd"/>
            <w:r>
              <w:rPr>
                <w:sz w:val="20"/>
                <w:szCs w:val="20"/>
              </w:rPr>
              <w:t xml:space="preserve"> same schema as West Texas, different geographic center. 49,828 KGS wells loaded.</w:t>
            </w:r>
          </w:p>
        </w:tc>
      </w:tr>
    </w:tbl>
    <w:p w14:paraId="2AFD2D85" w14:textId="77777777" w:rsidR="00EE40EA" w:rsidRDefault="00EE40EA">
      <w:pPr>
        <w:spacing w:after="120"/>
      </w:pPr>
    </w:p>
    <w:p w14:paraId="4DC808A7" w14:textId="77777777" w:rsidR="00EE40EA" w:rsidRDefault="00000000">
      <w:pPr>
        <w:spacing w:before="60" w:after="100"/>
      </w:pPr>
      <w:r>
        <w:t xml:space="preserve">Each area carries its own zoom center, default zoom level, step size for spatial gridding, and a list of source tags that determine which query functions fire. The query dispatcher reads </w:t>
      </w:r>
      <w:proofErr w:type="spellStart"/>
      <w:r>
        <w:t>active_</w:t>
      </w:r>
      <w:proofErr w:type="gramStart"/>
      <w:r>
        <w:t>area.sources</w:t>
      </w:r>
      <w:proofErr w:type="spellEnd"/>
      <w:proofErr w:type="gramEnd"/>
      <w:r>
        <w:t xml:space="preserve"> and calls the appropriate </w:t>
      </w:r>
      <w:proofErr w:type="gramStart"/>
      <w:r>
        <w:t>query — _</w:t>
      </w:r>
      <w:proofErr w:type="spellStart"/>
      <w:proofErr w:type="gramEnd"/>
      <w:r>
        <w:t>qry_well_grid</w:t>
      </w:r>
      <w:proofErr w:type="spellEnd"/>
      <w:r>
        <w:t xml:space="preserve"> for 'main', _</w:t>
      </w:r>
      <w:proofErr w:type="spellStart"/>
      <w:r>
        <w:t>qry_gom_well_grid</w:t>
      </w:r>
      <w:proofErr w:type="spellEnd"/>
      <w:r>
        <w:t xml:space="preserve"> for '</w:t>
      </w:r>
      <w:proofErr w:type="spellStart"/>
      <w:proofErr w:type="gramStart"/>
      <w:r>
        <w:t>gom</w:t>
      </w:r>
      <w:proofErr w:type="spellEnd"/>
      <w:r>
        <w:t xml:space="preserve">' — </w:t>
      </w:r>
      <w:proofErr w:type="gramEnd"/>
      <w:r>
        <w:t>so the rendering layer never needs to know which schema it is talking to.</w:t>
      </w:r>
    </w:p>
    <w:p w14:paraId="0E00D77F" w14:textId="77777777" w:rsidR="00EE40EA" w:rsidRDefault="00EE40EA">
      <w:pPr>
        <w:spacing w:after="120"/>
      </w:pPr>
    </w:p>
    <w:p w14:paraId="5157DB08" w14:textId="77777777" w:rsidR="00EE40EA" w:rsidRDefault="00000000">
      <w:pPr>
        <w:pStyle w:val="Heading2"/>
      </w:pPr>
      <w:proofErr w:type="gramStart"/>
      <w:r>
        <w:lastRenderedPageBreak/>
        <w:t>1.2  Regional</w:t>
      </w:r>
      <w:proofErr w:type="gramEnd"/>
      <w:r>
        <w:t xml:space="preserve"> Schema Isolation</w:t>
      </w:r>
    </w:p>
    <w:p w14:paraId="327AAF14" w14:textId="77777777" w:rsidR="00EE40EA" w:rsidRDefault="00000000">
      <w:pPr>
        <w:spacing w:before="60" w:after="100"/>
      </w:pPr>
      <w:r>
        <w:t>Each regional schema is self-contained. The Gulf of Mexico schema (</w:t>
      </w:r>
      <w:proofErr w:type="spellStart"/>
      <w:r>
        <w:t>dataview_gom</w:t>
      </w:r>
      <w:proofErr w:type="spellEnd"/>
      <w:r>
        <w:t xml:space="preserve">) uses BOEM-native identifiers (API well number, lease number, area code, block number) rather than the UWI-centric identifiers of onshore North American data. The map handles this by maintaining schema-aware well </w:t>
      </w:r>
      <w:proofErr w:type="spellStart"/>
      <w:r>
        <w:t>dicts</w:t>
      </w:r>
      <w:proofErr w:type="spellEnd"/>
      <w:r>
        <w:t>:</w:t>
      </w:r>
    </w:p>
    <w:p w14:paraId="279B5EB2" w14:textId="77777777" w:rsidR="00EE40EA" w:rsidRDefault="00EE40EA">
      <w:pPr>
        <w:spacing w:after="120"/>
      </w:pPr>
    </w:p>
    <w:p w14:paraId="0E8C90A2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dataview.dv</w:t>
      </w:r>
      <w:proofErr w:type="gramEnd"/>
      <w:r>
        <w:t>_well</w:t>
      </w:r>
      <w:proofErr w:type="spellEnd"/>
      <w:r>
        <w:t xml:space="preserve"> </w:t>
      </w:r>
      <w:proofErr w:type="spellStart"/>
      <w:r>
        <w:t>dicts</w:t>
      </w:r>
      <w:proofErr w:type="spellEnd"/>
      <w:r>
        <w:t xml:space="preserve">: </w:t>
      </w:r>
      <w:proofErr w:type="spellStart"/>
      <w:proofErr w:type="gramStart"/>
      <w:r>
        <w:t>well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uwi</w:t>
      </w:r>
      <w:proofErr w:type="spellEnd"/>
      <w:r>
        <w:t xml:space="preserve">, </w:t>
      </w:r>
      <w:proofErr w:type="spellStart"/>
      <w:r>
        <w:t>operator_name</w:t>
      </w:r>
      <w:proofErr w:type="spellEnd"/>
      <w:r>
        <w:t xml:space="preserve">, </w:t>
      </w:r>
      <w:proofErr w:type="spellStart"/>
      <w:r>
        <w:t>field_name</w:t>
      </w:r>
      <w:proofErr w:type="spellEnd"/>
      <w:r>
        <w:t xml:space="preserve">, </w:t>
      </w:r>
      <w:proofErr w:type="spellStart"/>
      <w:r>
        <w:t>status_code</w:t>
      </w:r>
      <w:proofErr w:type="spellEnd"/>
    </w:p>
    <w:p w14:paraId="419552A5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dataview_</w:t>
      </w:r>
      <w:proofErr w:type="gramStart"/>
      <w:r>
        <w:t>gom.well</w:t>
      </w:r>
      <w:proofErr w:type="spellEnd"/>
      <w:proofErr w:type="gramEnd"/>
      <w:r>
        <w:t xml:space="preserve"> </w:t>
      </w:r>
      <w:proofErr w:type="spellStart"/>
      <w:r>
        <w:t>dicts</w:t>
      </w:r>
      <w:proofErr w:type="spellEnd"/>
      <w:r>
        <w:t xml:space="preserve">: </w:t>
      </w:r>
      <w:proofErr w:type="spellStart"/>
      <w:proofErr w:type="gramStart"/>
      <w:r>
        <w:t>well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well_name_suffix</w:t>
      </w:r>
      <w:proofErr w:type="spellEnd"/>
      <w:r>
        <w:t xml:space="preserve">, </w:t>
      </w:r>
      <w:proofErr w:type="spellStart"/>
      <w:r>
        <w:t>api_well_number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 xml:space="preserve">, </w:t>
      </w:r>
      <w:proofErr w:type="spellStart"/>
      <w:r>
        <w:t>water_depth_ft</w:t>
      </w:r>
      <w:proofErr w:type="spellEnd"/>
      <w:r>
        <w:t xml:space="preserve">, </w:t>
      </w:r>
      <w:proofErr w:type="spellStart"/>
      <w:r>
        <w:t>bottom_area_code</w:t>
      </w:r>
      <w:proofErr w:type="spellEnd"/>
    </w:p>
    <w:p w14:paraId="18905BD6" w14:textId="77777777" w:rsidR="00EE40EA" w:rsidRDefault="00EE40EA">
      <w:pPr>
        <w:spacing w:after="120"/>
      </w:pPr>
    </w:p>
    <w:p w14:paraId="751FD6B0" w14:textId="77777777" w:rsidR="00EE40EA" w:rsidRDefault="00000000">
      <w:pPr>
        <w:spacing w:before="60" w:after="100"/>
      </w:pPr>
      <w:r>
        <w:t xml:space="preserve">Scout tickets, tray labels, and status displays read from whichever keys the </w:t>
      </w:r>
      <w:proofErr w:type="spellStart"/>
      <w:r>
        <w:t>dict</w:t>
      </w:r>
      <w:proofErr w:type="spellEnd"/>
      <w:r>
        <w:t xml:space="preserve"> </w:t>
      </w:r>
      <w:proofErr w:type="gramStart"/>
      <w:r>
        <w:t>actually has</w:t>
      </w:r>
      <w:proofErr w:type="gramEnd"/>
      <w:r>
        <w:t>, with explicit fallbacks. The same UI code renders both schema shapes without conditional branching on schema type.</w:t>
      </w:r>
    </w:p>
    <w:p w14:paraId="617C15BF" w14:textId="77777777" w:rsidR="00EE40EA" w:rsidRDefault="00EE40EA">
      <w:pPr>
        <w:spacing w:after="120"/>
      </w:pPr>
    </w:p>
    <w:p w14:paraId="705B2B4F" w14:textId="77777777" w:rsidR="00EE40EA" w:rsidRDefault="00000000">
      <w:pPr>
        <w:pStyle w:val="Heading2"/>
      </w:pPr>
      <w:proofErr w:type="gramStart"/>
      <w:r>
        <w:t>1.3  Extending</w:t>
      </w:r>
      <w:proofErr w:type="gramEnd"/>
      <w:r>
        <w:t xml:space="preserve"> to New Regions</w:t>
      </w:r>
    </w:p>
    <w:p w14:paraId="74995741" w14:textId="77777777" w:rsidR="00EE40EA" w:rsidRDefault="00000000">
      <w:pPr>
        <w:spacing w:before="60" w:after="100"/>
      </w:pPr>
      <w:r>
        <w:t xml:space="preserve">Adding a new regional schema — Canadian wells in a </w:t>
      </w:r>
      <w:proofErr w:type="spellStart"/>
      <w:r>
        <w:t>dataview_canada</w:t>
      </w:r>
      <w:proofErr w:type="spellEnd"/>
      <w:r>
        <w:t xml:space="preserve"> schema, North Sea wells in </w:t>
      </w:r>
      <w:proofErr w:type="spellStart"/>
      <w:r>
        <w:t>dataview_northsea</w:t>
      </w:r>
      <w:proofErr w:type="spellEnd"/>
      <w:r>
        <w:t xml:space="preserve"> — requires:</w:t>
      </w:r>
    </w:p>
    <w:p w14:paraId="39B545A2" w14:textId="77777777" w:rsidR="00EE40EA" w:rsidRDefault="00000000">
      <w:pPr>
        <w:pStyle w:val="ListParagraph"/>
        <w:numPr>
          <w:ilvl w:val="0"/>
          <w:numId w:val="3"/>
        </w:numPr>
        <w:spacing w:before="40" w:after="40"/>
      </w:pPr>
      <w:r>
        <w:t>Create the target schema and load well data via the standard importer pipeline</w:t>
      </w:r>
    </w:p>
    <w:p w14:paraId="7A3D3CC7" w14:textId="77777777" w:rsidR="00EE40EA" w:rsidRDefault="00000000">
      <w:pPr>
        <w:pStyle w:val="ListParagraph"/>
        <w:numPr>
          <w:ilvl w:val="0"/>
          <w:numId w:val="3"/>
        </w:numPr>
        <w:spacing w:before="40" w:after="40"/>
      </w:pPr>
      <w:r>
        <w:t>Add one entry to AREAS with the schema name, step size, and geographic center</w:t>
      </w:r>
    </w:p>
    <w:p w14:paraId="1A5191D6" w14:textId="77777777" w:rsidR="00EE40EA" w:rsidRDefault="00000000">
      <w:pPr>
        <w:pStyle w:val="ListParagraph"/>
        <w:numPr>
          <w:ilvl w:val="0"/>
          <w:numId w:val="3"/>
        </w:numPr>
        <w:spacing w:before="40" w:after="40"/>
      </w:pPr>
      <w:r>
        <w:t>Write _</w:t>
      </w:r>
      <w:proofErr w:type="spellStart"/>
      <w:r>
        <w:t>qry</w:t>
      </w:r>
      <w:proofErr w:type="spellEnd"/>
      <w:r>
        <w:t>_[region]_</w:t>
      </w:r>
      <w:proofErr w:type="gramStart"/>
      <w:r>
        <w:t>wells(</w:t>
      </w:r>
      <w:proofErr w:type="gramEnd"/>
      <w:r>
        <w:t>) and _</w:t>
      </w:r>
      <w:proofErr w:type="spellStart"/>
      <w:r>
        <w:t>qry</w:t>
      </w:r>
      <w:proofErr w:type="spellEnd"/>
      <w:r>
        <w:t>_[region]_</w:t>
      </w:r>
      <w:proofErr w:type="spellStart"/>
      <w:r>
        <w:t>well_</w:t>
      </w:r>
      <w:proofErr w:type="gramStart"/>
      <w:r>
        <w:t>grid</w:t>
      </w:r>
      <w:proofErr w:type="spellEnd"/>
      <w:r>
        <w:t>(</w:t>
      </w:r>
      <w:proofErr w:type="gramEnd"/>
      <w:r>
        <w:t>) following the existing pattern</w:t>
      </w:r>
    </w:p>
    <w:p w14:paraId="465475D0" w14:textId="77777777" w:rsidR="00EE40EA" w:rsidRDefault="00000000">
      <w:pPr>
        <w:pStyle w:val="ListParagraph"/>
        <w:numPr>
          <w:ilvl w:val="0"/>
          <w:numId w:val="3"/>
        </w:numPr>
        <w:spacing w:before="40" w:after="40"/>
      </w:pPr>
      <w:r>
        <w:t>Add the region's status codes to the status filter if they differ from the standard set</w:t>
      </w:r>
    </w:p>
    <w:p w14:paraId="313899CF" w14:textId="77777777" w:rsidR="00EE40EA" w:rsidRDefault="00EE40EA">
      <w:pPr>
        <w:spacing w:after="120"/>
      </w:pPr>
    </w:p>
    <w:p w14:paraId="63716D98" w14:textId="77777777" w:rsidR="00EE40EA" w:rsidRDefault="00000000">
      <w:pPr>
        <w:spacing w:before="60" w:after="100"/>
      </w:pPr>
      <w:r>
        <w:t xml:space="preserve">No changes to the rendering layer, selection engine, tray, scout ticket, or export path are required — they all operate on the </w:t>
      </w:r>
      <w:proofErr w:type="spellStart"/>
      <w:r>
        <w:t>standardised</w:t>
      </w:r>
      <w:proofErr w:type="spellEnd"/>
      <w:r>
        <w:t xml:space="preserve"> well </w:t>
      </w:r>
      <w:proofErr w:type="spellStart"/>
      <w:r>
        <w:t>dict</w:t>
      </w:r>
      <w:proofErr w:type="spellEnd"/>
      <w:r>
        <w:t xml:space="preserve"> shape.</w:t>
      </w:r>
    </w:p>
    <w:p w14:paraId="1186406E" w14:textId="77777777" w:rsidR="00EE40EA" w:rsidRDefault="00EE40EA">
      <w:pPr>
        <w:spacing w:after="120"/>
      </w:pPr>
    </w:p>
    <w:p w14:paraId="66627820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6AA75E5B" w14:textId="77777777" w:rsidR="00EE40EA" w:rsidRDefault="00000000">
      <w:pPr>
        <w:pStyle w:val="Heading1"/>
      </w:pPr>
      <w:r>
        <w:t>2</w:t>
      </w:r>
      <w:proofErr w:type="gramStart"/>
      <w:r>
        <w:t>.  Spatial</w:t>
      </w:r>
      <w:proofErr w:type="gramEnd"/>
      <w:r>
        <w:t xml:space="preserve"> Grid Architecture</w:t>
      </w:r>
    </w:p>
    <w:p w14:paraId="31DBB721" w14:textId="77777777" w:rsidR="00EE40EA" w:rsidRDefault="00000000">
      <w:pPr>
        <w:spacing w:before="60" w:after="100"/>
      </w:pPr>
      <w:r>
        <w:t xml:space="preserve">Rendering 55,000 </w:t>
      </w:r>
      <w:proofErr w:type="gramStart"/>
      <w:r>
        <w:t>individual well</w:t>
      </w:r>
      <w:proofErr w:type="gramEnd"/>
      <w:r>
        <w:t xml:space="preserve"> markers in a web browser is not practical — the browser would need to parse and render 55,000 SVG elements, and the map would be unusable. The spatial grid architecture solves this with a two-mode display strategy.</w:t>
      </w:r>
    </w:p>
    <w:p w14:paraId="550D404F" w14:textId="77777777" w:rsidR="00EE40EA" w:rsidRDefault="00EE40EA">
      <w:pPr>
        <w:spacing w:after="120"/>
      </w:pPr>
    </w:p>
    <w:p w14:paraId="7868EFF0" w14:textId="77777777" w:rsidR="00EE40EA" w:rsidRDefault="00000000">
      <w:pPr>
        <w:pStyle w:val="Heading2"/>
      </w:pPr>
      <w:proofErr w:type="gramStart"/>
      <w:r>
        <w:t>2.1  Grid</w:t>
      </w:r>
      <w:proofErr w:type="gramEnd"/>
      <w:r>
        <w:t xml:space="preserve"> Mode (Overview)</w:t>
      </w:r>
    </w:p>
    <w:p w14:paraId="6CC9B0D6" w14:textId="77777777" w:rsidR="00EE40EA" w:rsidRDefault="00000000">
      <w:pPr>
        <w:spacing w:before="60" w:after="100"/>
      </w:pPr>
      <w:r>
        <w:t>In Grid mode, wells are not rendered individually. Instead, a single SQL query aggregates all wells in the database into square geographic cells using the FLOOR function:</w:t>
      </w:r>
    </w:p>
    <w:p w14:paraId="1091FC41" w14:textId="77777777" w:rsidR="00EE40EA" w:rsidRDefault="00EE40EA">
      <w:pPr>
        <w:spacing w:after="120"/>
      </w:pPr>
    </w:p>
    <w:p w14:paraId="4B86FC7D" w14:textId="77777777" w:rsidR="00EE40EA" w:rsidRDefault="00000000">
      <w:pPr>
        <w:spacing w:before="60" w:after="100"/>
      </w:pPr>
      <w:proofErr w:type="gramStart"/>
      <w:r>
        <w:rPr>
          <w:b/>
          <w:bCs/>
          <w:color w:val="124950"/>
        </w:rPr>
        <w:t>FLOOR(</w:t>
      </w:r>
      <w:proofErr w:type="spellStart"/>
      <w:proofErr w:type="gramEnd"/>
      <w:r>
        <w:rPr>
          <w:b/>
          <w:bCs/>
          <w:color w:val="124950"/>
        </w:rPr>
        <w:t>surface_latitude</w:t>
      </w:r>
      <w:proofErr w:type="spellEnd"/>
      <w:r>
        <w:rPr>
          <w:b/>
          <w:bCs/>
          <w:color w:val="124950"/>
        </w:rPr>
        <w:t xml:space="preserve"> / step) * step AS </w:t>
      </w:r>
      <w:proofErr w:type="spellStart"/>
      <w:r>
        <w:rPr>
          <w:b/>
          <w:bCs/>
          <w:color w:val="124950"/>
        </w:rPr>
        <w:t>lat_bin</w:t>
      </w:r>
      <w:proofErr w:type="spellEnd"/>
      <w:r>
        <w:rPr>
          <w:b/>
          <w:bCs/>
          <w:color w:val="124950"/>
        </w:rPr>
        <w:t xml:space="preserve">, </w:t>
      </w:r>
      <w:proofErr w:type="gramStart"/>
      <w:r>
        <w:rPr>
          <w:b/>
          <w:bCs/>
          <w:color w:val="124950"/>
        </w:rPr>
        <w:t>FLOOR(</w:t>
      </w:r>
      <w:proofErr w:type="spellStart"/>
      <w:proofErr w:type="gramEnd"/>
      <w:r>
        <w:rPr>
          <w:b/>
          <w:bCs/>
          <w:color w:val="124950"/>
        </w:rPr>
        <w:t>surface_longitude</w:t>
      </w:r>
      <w:proofErr w:type="spellEnd"/>
      <w:r>
        <w:rPr>
          <w:b/>
          <w:bCs/>
          <w:color w:val="124950"/>
        </w:rPr>
        <w:t xml:space="preserve"> / step) * step AS </w:t>
      </w:r>
      <w:proofErr w:type="spellStart"/>
      <w:r>
        <w:rPr>
          <w:b/>
          <w:bCs/>
          <w:color w:val="124950"/>
        </w:rPr>
        <w:t>lon_bin</w:t>
      </w:r>
      <w:proofErr w:type="spellEnd"/>
      <w:r>
        <w:rPr>
          <w:b/>
          <w:bCs/>
          <w:color w:val="124950"/>
        </w:rPr>
        <w:t xml:space="preserve">, </w:t>
      </w:r>
      <w:proofErr w:type="gramStart"/>
      <w:r>
        <w:rPr>
          <w:b/>
          <w:bCs/>
          <w:color w:val="124950"/>
        </w:rPr>
        <w:t>COUNT(</w:t>
      </w:r>
      <w:proofErr w:type="gramEnd"/>
      <w:r>
        <w:rPr>
          <w:b/>
          <w:bCs/>
          <w:color w:val="124950"/>
        </w:rPr>
        <w:t xml:space="preserve">*) AS </w:t>
      </w:r>
      <w:proofErr w:type="spellStart"/>
      <w:r>
        <w:rPr>
          <w:b/>
          <w:bCs/>
          <w:color w:val="124950"/>
        </w:rPr>
        <w:t>well_count</w:t>
      </w:r>
      <w:proofErr w:type="spellEnd"/>
    </w:p>
    <w:p w14:paraId="14912E11" w14:textId="77777777" w:rsidR="00EE40EA" w:rsidRDefault="00EE40EA">
      <w:pPr>
        <w:spacing w:after="120"/>
      </w:pPr>
    </w:p>
    <w:p w14:paraId="20A0EFCF" w14:textId="77777777" w:rsidR="00EE40EA" w:rsidRDefault="00000000">
      <w:pPr>
        <w:spacing w:before="60" w:after="100"/>
      </w:pPr>
      <w:r>
        <w:t>Each cell is rendered as a colored rectangle (</w:t>
      </w:r>
      <w:proofErr w:type="spellStart"/>
      <w:proofErr w:type="gramStart"/>
      <w:r>
        <w:t>folium.Rectangle</w:t>
      </w:r>
      <w:proofErr w:type="spellEnd"/>
      <w:proofErr w:type="gramEnd"/>
      <w:r>
        <w:t>). The color is log-scaled from the well count: pale yellow for sparse cells, deep red/teal for dense cells. The entire heatmap — covering all 55,000 GOM wells or all 49,000 KGS wells — is a single SQL query returning a few hundred rows.</w:t>
      </w:r>
    </w:p>
    <w:p w14:paraId="591CA36D" w14:textId="77777777" w:rsidR="00EE40EA" w:rsidRDefault="00EE40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40EA" w14:paraId="04A11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7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3AB67486" w14:textId="77777777" w:rsidR="00EE40EA" w:rsidRDefault="00000000">
            <w:r>
              <w:rPr>
                <w:b/>
                <w:bCs/>
                <w:color w:val="FFFFFF"/>
              </w:rPr>
              <w:t>Grid Step Sizes by Region</w:t>
            </w:r>
          </w:p>
        </w:tc>
      </w:tr>
      <w:tr w:rsidR="00EE40EA" w14:paraId="56932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1F16E42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Main schema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dv_well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61FA1E9" w14:textId="77777777" w:rsidR="00EE40EA" w:rsidRDefault="00000000">
            <w:r>
              <w:rPr>
                <w:sz w:val="20"/>
                <w:szCs w:val="20"/>
              </w:rPr>
              <w:t xml:space="preserve">0.035° per cell ≈ 3.9 km × 3.9 km. Appropriate for onshore well density where individual well spacing is measured in </w:t>
            </w:r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kilometres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40EA" w14:paraId="3C062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6AC2D1A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GOM schema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dataview_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gom.well</w:t>
            </w:r>
            <w:proofErr w:type="spellEnd"/>
            <w:proofErr w:type="gram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64B2638" w14:textId="77777777" w:rsidR="00EE40EA" w:rsidRDefault="00000000">
            <w:r>
              <w:rPr>
                <w:sz w:val="20"/>
                <w:szCs w:val="20"/>
              </w:rPr>
              <w:t>0.36° per cell ≈ 40 km × 40 km. Appropriate for offshore block scale — BOEM lease blocks are approximately 9 km × 9 km.</w:t>
            </w:r>
          </w:p>
        </w:tc>
      </w:tr>
      <w:tr w:rsidR="00EE40EA" w14:paraId="40E4F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25872DA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All Regions combined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3B02BE" w14:textId="77777777" w:rsidR="00EE40EA" w:rsidRDefault="00000000">
            <w:r>
              <w:rPr>
                <w:sz w:val="20"/>
                <w:szCs w:val="20"/>
              </w:rPr>
              <w:t>Uses the finer 0.035° step for hit-testing when both sources are active, so a click on an overlap area correctly identifies the grid source.</w:t>
            </w:r>
          </w:p>
        </w:tc>
      </w:tr>
    </w:tbl>
    <w:p w14:paraId="2BA1A930" w14:textId="77777777" w:rsidR="00EE40EA" w:rsidRDefault="00EE40EA">
      <w:pPr>
        <w:spacing w:after="120"/>
      </w:pPr>
    </w:p>
    <w:p w14:paraId="73E4541A" w14:textId="77777777" w:rsidR="00EE40EA" w:rsidRDefault="00000000">
      <w:pPr>
        <w:pStyle w:val="Heading2"/>
      </w:pPr>
      <w:proofErr w:type="gramStart"/>
      <w:r>
        <w:t>2.2  Cell</w:t>
      </w:r>
      <w:proofErr w:type="gramEnd"/>
      <w:r>
        <w:t xml:space="preserve"> Selection and Drill</w:t>
      </w:r>
    </w:p>
    <w:p w14:paraId="197B5618" w14:textId="77777777" w:rsidR="00EE40EA" w:rsidRDefault="00000000">
      <w:pPr>
        <w:spacing w:before="60" w:after="100"/>
      </w:pPr>
      <w:r>
        <w:t>The grid is interactive. The operator clicks one or more cells to build a multi-cell selection, then commits the selection to drill into the individual wells inside the selected area. The selection engine:</w:t>
      </w:r>
    </w:p>
    <w:p w14:paraId="2BA298E2" w14:textId="77777777" w:rsidR="00EE40EA" w:rsidRDefault="00EE40EA">
      <w:pPr>
        <w:spacing w:after="120"/>
      </w:pPr>
    </w:p>
    <w:p w14:paraId="17CFD87E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Uses floor-division of the click's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coordinates by the active step to identify which cell was clicked — the same calculation as the SQL binning query, so the hit-test is exact</w:t>
      </w:r>
    </w:p>
    <w:p w14:paraId="1BB10AB4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Maintains a </w:t>
      </w:r>
      <w:proofErr w:type="spellStart"/>
      <w:r>
        <w:t>selected_cells</w:t>
      </w:r>
      <w:proofErr w:type="spellEnd"/>
      <w:r>
        <w:t xml:space="preserve"> buffer in session state as a list of (</w:t>
      </w:r>
      <w:proofErr w:type="spellStart"/>
      <w:r>
        <w:t>lat_bin</w:t>
      </w:r>
      <w:proofErr w:type="spellEnd"/>
      <w:r>
        <w:t xml:space="preserve">, </w:t>
      </w:r>
      <w:proofErr w:type="spellStart"/>
      <w:r>
        <w:t>lon_bin</w:t>
      </w:r>
      <w:proofErr w:type="spellEnd"/>
      <w:r>
        <w:t>) tuples</w:t>
      </w:r>
    </w:p>
    <w:p w14:paraId="71F46651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Commit, queries </w:t>
      </w:r>
      <w:proofErr w:type="spellStart"/>
      <w:r>
        <w:t>dv_well</w:t>
      </w:r>
      <w:proofErr w:type="spellEnd"/>
      <w:r>
        <w:t xml:space="preserve"> or </w:t>
      </w:r>
      <w:proofErr w:type="spellStart"/>
      <w:r>
        <w:t>dataview_</w:t>
      </w:r>
      <w:proofErr w:type="gramStart"/>
      <w:r>
        <w:t>gom.well</w:t>
      </w:r>
      <w:proofErr w:type="spellEnd"/>
      <w:proofErr w:type="gramEnd"/>
      <w:r>
        <w:t xml:space="preserve"> with a bounding box derived from the union of selected cells</w:t>
      </w:r>
    </w:p>
    <w:p w14:paraId="480623D7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Renders the drilled wells as individual </w:t>
      </w:r>
      <w:proofErr w:type="spellStart"/>
      <w:r>
        <w:t>CircleMarker</w:t>
      </w:r>
      <w:proofErr w:type="spellEnd"/>
      <w:r>
        <w:t xml:space="preserve"> points overlaid on the grid</w:t>
      </w:r>
    </w:p>
    <w:p w14:paraId="2E99D708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Caps drill results at 5,000 wells to prevent browser overload — cells with more wells than the cap </w:t>
      </w:r>
      <w:proofErr w:type="gramStart"/>
      <w:r>
        <w:t>are</w:t>
      </w:r>
      <w:proofErr w:type="gramEnd"/>
      <w:r>
        <w:t xml:space="preserve"> shown with a warning before </w:t>
      </w:r>
      <w:proofErr w:type="gramStart"/>
      <w:r>
        <w:t>commit</w:t>
      </w:r>
      <w:proofErr w:type="gramEnd"/>
    </w:p>
    <w:p w14:paraId="5EDB2545" w14:textId="77777777" w:rsidR="00EE40EA" w:rsidRDefault="00EE40EA">
      <w:pPr>
        <w:spacing w:after="120"/>
      </w:pPr>
    </w:p>
    <w:p w14:paraId="1831C054" w14:textId="77777777" w:rsidR="00EE40EA" w:rsidRDefault="00000000">
      <w:pPr>
        <w:pStyle w:val="Heading2"/>
      </w:pPr>
      <w:proofErr w:type="gramStart"/>
      <w:r>
        <w:t>2.3  Circle</w:t>
      </w:r>
      <w:proofErr w:type="gramEnd"/>
      <w:r>
        <w:t xml:space="preserve"> Selection</w:t>
      </w:r>
    </w:p>
    <w:p w14:paraId="47AC1E72" w14:textId="77777777" w:rsidR="00EE40EA" w:rsidRDefault="00000000">
      <w:pPr>
        <w:spacing w:before="60" w:after="100"/>
      </w:pPr>
      <w:r>
        <w:t>An alternative to cell-click selection is the circle draw tool (</w:t>
      </w:r>
      <w:proofErr w:type="spellStart"/>
      <w:r>
        <w:t>Leaflet.Draw</w:t>
      </w:r>
      <w:proofErr w:type="spellEnd"/>
      <w:r>
        <w:t>). The operator draws a circle on the map; a Haversine distance query returns all wells within the radius. The Selection Mode radio (Cells / Circle) is mutually exclusive — in Circle mode, grid cell polygons are rendered as non-interactive (Leaflet interactive: false) so the mouse-down that starts the circle draw gesture is not intercepted by the cell click handler.</w:t>
      </w:r>
    </w:p>
    <w:p w14:paraId="3118E3A4" w14:textId="77777777" w:rsidR="00EE40EA" w:rsidRDefault="00EE40EA">
      <w:pPr>
        <w:spacing w:after="120"/>
      </w:pPr>
    </w:p>
    <w:p w14:paraId="22E1D775" w14:textId="77777777" w:rsidR="00EE40EA" w:rsidRDefault="00000000">
      <w:pPr>
        <w:pStyle w:val="Heading2"/>
      </w:pPr>
      <w:proofErr w:type="gramStart"/>
      <w:r>
        <w:t>2.4  Caching</w:t>
      </w:r>
      <w:proofErr w:type="gramEnd"/>
      <w:r>
        <w:t xml:space="preserve"> Strategy</w:t>
      </w:r>
    </w:p>
    <w:p w14:paraId="4D1364EA" w14:textId="77777777" w:rsidR="00EE40EA" w:rsidRDefault="00000000">
      <w:pPr>
        <w:spacing w:before="60" w:after="100"/>
      </w:pPr>
      <w:r>
        <w:t>All queries are cached with @</w:t>
      </w:r>
      <w:proofErr w:type="gramStart"/>
      <w:r>
        <w:t>st.cache</w:t>
      </w:r>
      <w:proofErr w:type="gramEnd"/>
      <w:r>
        <w:t>_data using TTLs appropriate to how frequently the underlying data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40EA" w14:paraId="0CA91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7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C1354CC" w14:textId="77777777" w:rsidR="00EE40EA" w:rsidRDefault="00000000">
            <w:r>
              <w:rPr>
                <w:b/>
                <w:bCs/>
                <w:color w:val="FFFFFF"/>
              </w:rPr>
              <w:t>Query Cache TTLs</w:t>
            </w:r>
          </w:p>
        </w:tc>
      </w:tr>
      <w:tr w:rsidR="00EE40EA" w14:paraId="4E50D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DD54C4B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Grid queries (well counts)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ADCA920" w14:textId="77777777" w:rsidR="00EE40EA" w:rsidRDefault="00000000"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=None — never expires. Well counts only change when new wells are loaded. Cached once per session, instant on subsequent renders.</w:t>
            </w:r>
          </w:p>
        </w:tc>
      </w:tr>
      <w:tr w:rsidR="00EE40EA" w14:paraId="56C07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E2963B1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Status codes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4E2400F" w14:textId="77777777" w:rsidR="00EE40EA" w:rsidRDefault="00000000"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=3600 — refreshes hourly. Status codes are reference data that rarely changes.</w:t>
            </w:r>
          </w:p>
        </w:tc>
      </w:tr>
      <w:tr w:rsidR="00EE40EA" w14:paraId="6B29D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10525D1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Well markers (Wells mode)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8890DA" w14:textId="77777777" w:rsidR="00EE40EA" w:rsidRDefault="00000000"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=3600 — full well list cached for an hour. Re-fetched when new data is loaded.</w:t>
            </w:r>
          </w:p>
        </w:tc>
      </w:tr>
      <w:tr w:rsidR="00EE40EA" w14:paraId="008F2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549226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Viewport wells (drilled)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D779B56" w14:textId="77777777" w:rsidR="00EE40EA" w:rsidRDefault="00000000"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 xml:space="preserve">=300 — </w:t>
            </w:r>
            <w:proofErr w:type="gramStart"/>
            <w:r>
              <w:rPr>
                <w:sz w:val="20"/>
                <w:szCs w:val="20"/>
              </w:rPr>
              <w:t>5 minute</w:t>
            </w:r>
            <w:proofErr w:type="gramEnd"/>
            <w:r>
              <w:rPr>
                <w:sz w:val="20"/>
                <w:szCs w:val="20"/>
              </w:rPr>
              <w:t xml:space="preserve"> cache. Drilled well sets are </w:t>
            </w:r>
            <w:proofErr w:type="gramStart"/>
            <w:r>
              <w:rPr>
                <w:sz w:val="20"/>
                <w:szCs w:val="20"/>
              </w:rPr>
              <w:t>session-specific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EE40EA" w14:paraId="730AD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E364C1E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GOM trajectory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12DF3C" w14:textId="77777777" w:rsidR="00EE40EA" w:rsidRDefault="00000000"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 xml:space="preserve">=300 — cached on the </w:t>
            </w:r>
            <w:proofErr w:type="spellStart"/>
            <w:r>
              <w:rPr>
                <w:sz w:val="20"/>
                <w:szCs w:val="20"/>
              </w:rPr>
              <w:t>well_id</w:t>
            </w:r>
            <w:proofErr w:type="spellEnd"/>
            <w:r>
              <w:rPr>
                <w:sz w:val="20"/>
                <w:szCs w:val="20"/>
              </w:rPr>
              <w:t xml:space="preserve"> tuple. Re-drilling the same set is free.</w:t>
            </w:r>
          </w:p>
        </w:tc>
      </w:tr>
    </w:tbl>
    <w:p w14:paraId="0231C3D7" w14:textId="77777777" w:rsidR="00EE40EA" w:rsidRDefault="00EE40EA">
      <w:pPr>
        <w:spacing w:after="120"/>
      </w:pPr>
    </w:p>
    <w:p w14:paraId="4A32AF66" w14:textId="77777777" w:rsidR="00EE40EA" w:rsidRDefault="00000000">
      <w:pPr>
        <w:spacing w:before="60" w:after="100"/>
      </w:pPr>
      <w:r>
        <w:t xml:space="preserve">The map widget key is derived from a hash of the </w:t>
      </w:r>
      <w:proofErr w:type="spellStart"/>
      <w:r>
        <w:t>selected_cells</w:t>
      </w:r>
      <w:proofErr w:type="spellEnd"/>
      <w:r>
        <w:t xml:space="preserve"> set. When the selection changes, the key changes, forcing </w:t>
      </w:r>
      <w:proofErr w:type="spellStart"/>
      <w:r>
        <w:t>streamlit</w:t>
      </w:r>
      <w:proofErr w:type="spellEnd"/>
      <w:r>
        <w:t xml:space="preserve">-folium to rebuild the map from scratch — picking up the new cell border highlights. View persistence (pan/zoom position) survives key changes via </w:t>
      </w:r>
      <w:proofErr w:type="spellStart"/>
      <w:r>
        <w:t>sessionStorage</w:t>
      </w:r>
      <w:proofErr w:type="spellEnd"/>
      <w:r>
        <w:t xml:space="preserve"> in the browser.</w:t>
      </w:r>
    </w:p>
    <w:p w14:paraId="157FC0EA" w14:textId="77777777" w:rsidR="00EE40EA" w:rsidRDefault="00EE40EA">
      <w:pPr>
        <w:spacing w:after="120"/>
      </w:pPr>
    </w:p>
    <w:p w14:paraId="611887DB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0520B4E7" w14:textId="77777777" w:rsidR="00EE40EA" w:rsidRDefault="00000000">
      <w:pPr>
        <w:pStyle w:val="Heading1"/>
      </w:pPr>
      <w:r>
        <w:t>3</w:t>
      </w:r>
      <w:proofErr w:type="gramStart"/>
      <w:r>
        <w:t>.  Large</w:t>
      </w:r>
      <w:proofErr w:type="gramEnd"/>
      <w:r>
        <w:t xml:space="preserve"> Dataset Performance</w:t>
      </w:r>
    </w:p>
    <w:p w14:paraId="52C8BB50" w14:textId="77777777" w:rsidR="00EE40EA" w:rsidRDefault="00000000">
      <w:pPr>
        <w:spacing w:before="60" w:after="100"/>
      </w:pPr>
      <w:proofErr w:type="spellStart"/>
      <w:r>
        <w:t>DataView</w:t>
      </w:r>
      <w:proofErr w:type="spellEnd"/>
      <w:r>
        <w:t xml:space="preserve"> v3 is designed to handle petroleum </w:t>
      </w:r>
      <w:proofErr w:type="gramStart"/>
      <w:r>
        <w:t>datasets at</w:t>
      </w:r>
      <w:proofErr w:type="gramEnd"/>
      <w:r>
        <w:t xml:space="preserve"> national and international scale. The following benchmarks were measured on a local SQL Server Express 2022 instance on a Windows development machine — not a production server.</w:t>
      </w:r>
    </w:p>
    <w:p w14:paraId="79C6CB25" w14:textId="77777777" w:rsidR="00EE40EA" w:rsidRDefault="00EE40EA">
      <w:pPr>
        <w:spacing w:after="120"/>
      </w:pPr>
    </w:p>
    <w:p w14:paraId="5A6C3789" w14:textId="77777777" w:rsidR="00EE40EA" w:rsidRDefault="00000000">
      <w:pPr>
        <w:pStyle w:val="Heading2"/>
      </w:pPr>
      <w:proofErr w:type="gramStart"/>
      <w:r>
        <w:t>3.1  Loaded</w:t>
      </w:r>
      <w:proofErr w:type="gramEnd"/>
      <w:r>
        <w:t xml:space="preserve"> Dataset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40EA" w14:paraId="59EE7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7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49B6E98" w14:textId="77777777" w:rsidR="00EE40EA" w:rsidRDefault="00000000">
            <w:r>
              <w:rPr>
                <w:b/>
                <w:bCs/>
                <w:color w:val="FFFFFF"/>
              </w:rPr>
              <w:t>Production Dataset Scale</w:t>
            </w:r>
          </w:p>
        </w:tc>
      </w:tr>
      <w:tr w:rsidR="00EE40EA" w14:paraId="1DB79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96B51E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KGS Kansas wells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9AF1B51" w14:textId="77777777" w:rsidR="00EE40EA" w:rsidRDefault="00000000">
            <w:r>
              <w:rPr>
                <w:sz w:val="20"/>
                <w:szCs w:val="20"/>
              </w:rPr>
              <w:t xml:space="preserve">49,828 wells in </w:t>
            </w:r>
            <w:proofErr w:type="spellStart"/>
            <w:proofErr w:type="gramStart"/>
            <w:r>
              <w:rPr>
                <w:sz w:val="20"/>
                <w:szCs w:val="20"/>
              </w:rPr>
              <w:t>dataview.dv</w:t>
            </w:r>
            <w:proofErr w:type="gramEnd"/>
            <w:r>
              <w:rPr>
                <w:sz w:val="20"/>
                <w:szCs w:val="20"/>
              </w:rPr>
              <w:t>_well</w:t>
            </w:r>
            <w:proofErr w:type="spellEnd"/>
            <w:r>
              <w:rPr>
                <w:sz w:val="20"/>
                <w:szCs w:val="20"/>
              </w:rPr>
              <w:t>. Full grid render: &lt; 2 seconds.</w:t>
            </w:r>
          </w:p>
        </w:tc>
      </w:tr>
      <w:tr w:rsidR="00EE40EA" w14:paraId="54F50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719FAF9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RRC Texas wells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BDF88D" w14:textId="77777777" w:rsidR="00EE40EA" w:rsidRDefault="00000000">
            <w:r>
              <w:rPr>
                <w:sz w:val="20"/>
                <w:szCs w:val="20"/>
              </w:rPr>
              <w:t xml:space="preserve">400,000 </w:t>
            </w:r>
            <w:proofErr w:type="gramStart"/>
            <w:r>
              <w:rPr>
                <w:sz w:val="20"/>
                <w:szCs w:val="20"/>
              </w:rPr>
              <w:t>wells</w:t>
            </w:r>
            <w:proofErr w:type="gramEnd"/>
            <w:r>
              <w:rPr>
                <w:sz w:val="20"/>
                <w:szCs w:val="20"/>
              </w:rPr>
              <w:t xml:space="preserve"> loaded via batch loader. Grid render covers all of Texas in a single query.</w:t>
            </w:r>
          </w:p>
        </w:tc>
      </w:tr>
      <w:tr w:rsidR="00EE40EA" w14:paraId="7A07C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7371203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GOM wells (BOEM)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6BADEF1" w14:textId="77777777" w:rsidR="00EE40EA" w:rsidRDefault="00000000">
            <w:r>
              <w:rPr>
                <w:sz w:val="20"/>
                <w:szCs w:val="20"/>
              </w:rPr>
              <w:t xml:space="preserve">54,675 wells in </w:t>
            </w:r>
            <w:proofErr w:type="spellStart"/>
            <w:r>
              <w:rPr>
                <w:sz w:val="20"/>
                <w:szCs w:val="20"/>
              </w:rPr>
              <w:t>dataview_</w:t>
            </w:r>
            <w:proofErr w:type="gramStart"/>
            <w:r>
              <w:rPr>
                <w:sz w:val="20"/>
                <w:szCs w:val="20"/>
              </w:rPr>
              <w:t>gom.well</w:t>
            </w:r>
            <w:proofErr w:type="spellEnd"/>
            <w:proofErr w:type="gramEnd"/>
            <w:r>
              <w:rPr>
                <w:sz w:val="20"/>
                <w:szCs w:val="20"/>
              </w:rPr>
              <w:t>. Full heatmap render: &lt; 3 seconds.</w:t>
            </w:r>
          </w:p>
        </w:tc>
      </w:tr>
      <w:tr w:rsidR="00EE40EA" w14:paraId="139AD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35461F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GOM directional surveys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ECFC3E4" w14:textId="77777777" w:rsidR="00EE40EA" w:rsidRDefault="00000000">
            <w:r>
              <w:rPr>
                <w:sz w:val="20"/>
                <w:szCs w:val="20"/>
              </w:rPr>
              <w:t>4,933,073 survey stations across 49,089 wells. Trajectory overlay uses Douglas-</w:t>
            </w:r>
            <w:proofErr w:type="spellStart"/>
            <w:r>
              <w:rPr>
                <w:sz w:val="20"/>
                <w:szCs w:val="20"/>
              </w:rPr>
              <w:t>Peucker</w:t>
            </w:r>
            <w:proofErr w:type="spellEnd"/>
            <w:r>
              <w:rPr>
                <w:sz w:val="20"/>
                <w:szCs w:val="20"/>
              </w:rPr>
              <w:t xml:space="preserve"> simplification to reduce rendering payload by 99%.</w:t>
            </w:r>
          </w:p>
        </w:tc>
      </w:tr>
      <w:tr w:rsidR="00EE40EA" w14:paraId="032BA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EE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640686D" w14:textId="77777777" w:rsidR="00EE40EA" w:rsidRDefault="00000000">
            <w:r>
              <w:rPr>
                <w:b/>
                <w:bCs/>
                <w:color w:val="1A1A1A"/>
                <w:sz w:val="20"/>
                <w:szCs w:val="20"/>
              </w:rPr>
              <w:t>Total FK pre-flight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F2DD96" w14:textId="77777777" w:rsidR="00EE40EA" w:rsidRDefault="00000000">
            <w:r>
              <w:rPr>
                <w:sz w:val="20"/>
                <w:szCs w:val="20"/>
              </w:rPr>
              <w:t>49,828 KGS + 589 RRC Texas wells processed with FK resolution in a single pass.</w:t>
            </w:r>
          </w:p>
        </w:tc>
      </w:tr>
    </w:tbl>
    <w:p w14:paraId="3BF1CF88" w14:textId="77777777" w:rsidR="00EE40EA" w:rsidRDefault="00EE40EA">
      <w:pPr>
        <w:spacing w:after="120"/>
      </w:pPr>
    </w:p>
    <w:p w14:paraId="46B37AD6" w14:textId="77777777" w:rsidR="00EE40EA" w:rsidRDefault="00000000">
      <w:pPr>
        <w:pStyle w:val="Heading2"/>
      </w:pPr>
      <w:proofErr w:type="gramStart"/>
      <w:r>
        <w:t>3.2  Grid</w:t>
      </w:r>
      <w:proofErr w:type="gramEnd"/>
      <w:r>
        <w:t xml:space="preserve"> Query Performance</w:t>
      </w:r>
    </w:p>
    <w:p w14:paraId="6E7C39D5" w14:textId="77777777" w:rsidR="00EE40EA" w:rsidRDefault="00000000">
      <w:pPr>
        <w:spacing w:before="60" w:after="100"/>
      </w:pPr>
      <w:r>
        <w:t xml:space="preserve">The key insight is that grid rendering scales with the number of non-empty cells, not the number of wells. A region with 400,000 wells spread across Texas produces perhaps 8,000 non-empty 0.035° cells — which is </w:t>
      </w:r>
      <w:proofErr w:type="gramStart"/>
      <w:r>
        <w:t>a</w:t>
      </w:r>
      <w:proofErr w:type="gramEnd"/>
      <w:r>
        <w:t xml:space="preserve"> 8,000-row result set, not a 400,000-row one. The SQL GROUP BY with FLOOR binning aggregates all 400,000 rows server-side in under a second.</w:t>
      </w:r>
    </w:p>
    <w:p w14:paraId="2EC39545" w14:textId="77777777" w:rsidR="00EE40EA" w:rsidRDefault="00EE40EA">
      <w:pPr>
        <w:spacing w:after="120"/>
      </w:pPr>
    </w:p>
    <w:p w14:paraId="20423955" w14:textId="77777777" w:rsidR="00EE40EA" w:rsidRDefault="00000000">
      <w:pPr>
        <w:pStyle w:val="Heading2"/>
      </w:pPr>
      <w:proofErr w:type="gramStart"/>
      <w:r>
        <w:t>3.3  Trajectory</w:t>
      </w:r>
      <w:proofErr w:type="gramEnd"/>
      <w:r>
        <w:t xml:space="preserve"> Simplification</w:t>
      </w:r>
    </w:p>
    <w:p w14:paraId="279E2D60" w14:textId="77777777" w:rsidR="00EE40EA" w:rsidRDefault="00000000">
      <w:pPr>
        <w:spacing w:before="60" w:after="100"/>
      </w:pPr>
      <w:r>
        <w:t xml:space="preserve">The directional survey overlay </w:t>
      </w:r>
      <w:proofErr w:type="gramStart"/>
      <w:r>
        <w:t>(🌀 GOM</w:t>
      </w:r>
      <w:proofErr w:type="gramEnd"/>
      <w:r>
        <w:t xml:space="preserve"> Trajectories) was the major rendering bottleneck — 4.93 million raw survey stations for a viewport of 200 wells would take over a minute to serialize and render. The Douglas-</w:t>
      </w:r>
      <w:proofErr w:type="spellStart"/>
      <w:r>
        <w:t>Peucker</w:t>
      </w:r>
      <w:proofErr w:type="spellEnd"/>
      <w:r>
        <w:t xml:space="preserve"> line simplification algorithm, applied inside the cached query, reduces this to &lt; 1,000 points:</w:t>
      </w:r>
    </w:p>
    <w:p w14:paraId="7A3F77E4" w14:textId="77777777" w:rsidR="00EE40EA" w:rsidRDefault="00EE40EA">
      <w:pPr>
        <w:spacing w:after="120"/>
      </w:pPr>
    </w:p>
    <w:p w14:paraId="6FE7529F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Adaptive tolerance: 0.2% of each wellbore's bounding box </w:t>
      </w:r>
      <w:proofErr w:type="gramStart"/>
      <w:r>
        <w:t>diagonal</w:t>
      </w:r>
      <w:proofErr w:type="gramEnd"/>
      <w:r>
        <w:t>, with a 0.5m floor</w:t>
      </w:r>
    </w:p>
    <w:p w14:paraId="18599414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>Vertical wells (3–50m total horizontal extent): collapse to 2 points — correct, they are a dot on the map</w:t>
      </w:r>
    </w:p>
    <w:p w14:paraId="3F926F8C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>Deviated wells (2–3 km lateral reach): retain 7–15 points preserving kickoff, build curve, and doglegs</w:t>
      </w:r>
    </w:p>
    <w:p w14:paraId="6FCE351C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>Hard vertex cap: 250 points per wellbore as a backstop for pathological surveys</w:t>
      </w:r>
    </w:p>
    <w:p w14:paraId="54D8588D" w14:textId="77777777" w:rsidR="00EE40EA" w:rsidRDefault="00000000">
      <w:pPr>
        <w:pStyle w:val="ListParagraph"/>
        <w:numPr>
          <w:ilvl w:val="0"/>
          <w:numId w:val="2"/>
        </w:numPr>
        <w:spacing w:before="40" w:after="40"/>
      </w:pPr>
      <w:r>
        <w:t>Typical reduction: 99%+ — 4.93M raw stations → ~1,000 points for a 209-well viewport</w:t>
      </w:r>
    </w:p>
    <w:p w14:paraId="0AC9E9ED" w14:textId="77777777" w:rsidR="00EE40EA" w:rsidRDefault="00EE40EA">
      <w:pPr>
        <w:spacing w:after="120"/>
      </w:pPr>
    </w:p>
    <w:p w14:paraId="7F1FCE42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0238BDC8" w14:textId="77777777" w:rsidR="00EE40EA" w:rsidRDefault="00000000">
      <w:pPr>
        <w:pStyle w:val="Heading1"/>
      </w:pPr>
      <w:r>
        <w:t>4</w:t>
      </w:r>
      <w:proofErr w:type="gramStart"/>
      <w:r>
        <w:t>.  GOM</w:t>
      </w:r>
      <w:proofErr w:type="gramEnd"/>
      <w:r>
        <w:t xml:space="preserve"> Scout Ticket and Tray</w:t>
      </w:r>
    </w:p>
    <w:p w14:paraId="55D54240" w14:textId="77777777" w:rsidR="00EE40EA" w:rsidRDefault="00000000">
      <w:pPr>
        <w:spacing w:before="60" w:after="100"/>
      </w:pPr>
      <w:r>
        <w:t xml:space="preserve">When a well marker is clicked in Wells mode, the well is added to the Object Tray — a persistent list of selected wells for reporting and export. Clicking a GOM well opens a Scout Ticket panel showing well header, location and lease data, depths, dates, and — for drilled wells — a real directional survey table with station data from </w:t>
      </w:r>
      <w:proofErr w:type="spellStart"/>
      <w:r>
        <w:t>dataview_</w:t>
      </w:r>
      <w:proofErr w:type="gramStart"/>
      <w:r>
        <w:t>gom.directional</w:t>
      </w:r>
      <w:proofErr w:type="gramEnd"/>
      <w:r>
        <w:t>_survey_point</w:t>
      </w:r>
      <w:proofErr w:type="spellEnd"/>
      <w:r>
        <w:t>.</w:t>
      </w:r>
    </w:p>
    <w:p w14:paraId="715B6B9D" w14:textId="77777777" w:rsidR="00EE40EA" w:rsidRDefault="00EE40EA">
      <w:pPr>
        <w:spacing w:after="120"/>
      </w:pPr>
    </w:p>
    <w:p w14:paraId="5B3C5920" w14:textId="77777777" w:rsidR="00EE40EA" w:rsidRDefault="00000000">
      <w:pPr>
        <w:spacing w:before="60" w:after="100"/>
      </w:pPr>
      <w:r>
        <w:t xml:space="preserve">Because </w:t>
      </w:r>
      <w:proofErr w:type="spellStart"/>
      <w:r>
        <w:t>streamlit</w:t>
      </w:r>
      <w:proofErr w:type="spellEnd"/>
      <w:r>
        <w:t xml:space="preserve">-folium strips HTML attributes from popup content, the GOM click handler parses the BOEM API number from the popup's visible text rather than relying on a data attribute. The well is then looked up in the </w:t>
      </w:r>
      <w:proofErr w:type="spellStart"/>
      <w:r>
        <w:t>viewport_gom_wells</w:t>
      </w:r>
      <w:proofErr w:type="spellEnd"/>
      <w:r>
        <w:t xml:space="preserve"> shadow cache by </w:t>
      </w:r>
      <w:proofErr w:type="spellStart"/>
      <w:r>
        <w:t>api_well_number</w:t>
      </w:r>
      <w:proofErr w:type="spellEnd"/>
      <w:r>
        <w:t xml:space="preserve"> and the full well </w:t>
      </w:r>
      <w:proofErr w:type="spellStart"/>
      <w:r>
        <w:t>dict</w:t>
      </w:r>
      <w:proofErr w:type="spellEnd"/>
      <w:r>
        <w:t xml:space="preserve"> is retrieved for the scout ticket.</w:t>
      </w:r>
    </w:p>
    <w:p w14:paraId="3533FA77" w14:textId="77777777" w:rsidR="00EE40EA" w:rsidRDefault="00EE40EA">
      <w:pPr>
        <w:spacing w:after="120"/>
      </w:pPr>
    </w:p>
    <w:p w14:paraId="261C78E7" w14:textId="77777777" w:rsidR="00EE40EA" w:rsidRDefault="00EE40EA">
      <w:pPr>
        <w:pBdr>
          <w:bottom w:val="single" w:sz="8" w:space="1" w:color="1B6B74"/>
        </w:pBdr>
        <w:spacing w:before="200" w:after="200"/>
      </w:pPr>
    </w:p>
    <w:p w14:paraId="2D570F4F" w14:textId="77777777" w:rsidR="00EE40EA" w:rsidRDefault="00000000">
      <w:pPr>
        <w:pStyle w:val="Heading1"/>
      </w:pPr>
      <w:r>
        <w:t>5</w:t>
      </w:r>
      <w:proofErr w:type="gramStart"/>
      <w:r>
        <w:t>.  Status</w:t>
      </w:r>
      <w:proofErr w:type="gramEnd"/>
      <w:r>
        <w:t xml:space="preserve"> Filtering and Legend</w:t>
      </w:r>
    </w:p>
    <w:p w14:paraId="7FF317EC" w14:textId="77777777" w:rsidR="00EE40EA" w:rsidRDefault="00000000">
      <w:pPr>
        <w:spacing w:before="60" w:after="100"/>
      </w:pPr>
      <w:r>
        <w:t>The status filter sidebar adapts to the active region. In GOM mode, BOEM status codes (PA, ST, COM, TA, CNL, DSI, APD, DRL, AST, VCW) are displayed with color-coded swatches matching the marker colors on the map — the sidebar doubles as the map legend. In main schema mode, the filter shows the standard onshore status classifications.</w:t>
      </w:r>
    </w:p>
    <w:p w14:paraId="2BE9AADA" w14:textId="77777777" w:rsidR="00EE40EA" w:rsidRDefault="00EE40EA">
      <w:pPr>
        <w:spacing w:after="120"/>
      </w:pPr>
    </w:p>
    <w:p w14:paraId="3E4C393F" w14:textId="77777777" w:rsidR="00EE40EA" w:rsidRDefault="00000000">
      <w:pPr>
        <w:spacing w:before="60" w:after="100"/>
      </w:pPr>
      <w:r>
        <w:t xml:space="preserve">Status colors are driven by boem_status_codes.py (GOM) or the standard </w:t>
      </w:r>
      <w:proofErr w:type="spellStart"/>
      <w:r>
        <w:t>DataView</w:t>
      </w:r>
      <w:proofErr w:type="spellEnd"/>
      <w:r>
        <w:t xml:space="preserve"> color scheme (onshore). All filters are </w:t>
      </w:r>
      <w:proofErr w:type="spellStart"/>
      <w:r>
        <w:t>Streamlit</w:t>
      </w:r>
      <w:proofErr w:type="spellEnd"/>
      <w:r>
        <w:t xml:space="preserve"> checkboxes with persistent session state — unchecking PA removes permanently abandoned wells from both the grid counts and the Wells-mode markers.</w:t>
      </w:r>
    </w:p>
    <w:p w14:paraId="0D3D0DBE" w14:textId="77777777" w:rsidR="00EE40EA" w:rsidRDefault="00EE40EA">
      <w:pPr>
        <w:spacing w:after="120"/>
      </w:pPr>
    </w:p>
    <w:p w14:paraId="7A44DC0E" w14:textId="77777777" w:rsidR="00EE40EA" w:rsidRDefault="00000000">
      <w:r>
        <w:br w:type="page"/>
      </w:r>
    </w:p>
    <w:sectPr w:rsidR="00EE40EA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6C646" w14:textId="77777777" w:rsidR="0051073A" w:rsidRDefault="0051073A">
      <w:r>
        <w:separator/>
      </w:r>
    </w:p>
  </w:endnote>
  <w:endnote w:type="continuationSeparator" w:id="0">
    <w:p w14:paraId="434320E8" w14:textId="77777777" w:rsidR="0051073A" w:rsidRDefault="0051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1A00" w14:textId="77777777" w:rsidR="00EE40EA" w:rsidRDefault="00000000">
    <w:pPr>
      <w:jc w:val="center"/>
    </w:pPr>
    <w:proofErr w:type="spellStart"/>
    <w:r>
      <w:rPr>
        <w:color w:val="777777"/>
        <w:sz w:val="16"/>
        <w:szCs w:val="16"/>
      </w:rPr>
      <w:t>DataView</w:t>
    </w:r>
    <w:proofErr w:type="spellEnd"/>
    <w:r>
      <w:rPr>
        <w:color w:val="777777"/>
        <w:sz w:val="16"/>
        <w:szCs w:val="16"/>
      </w:rPr>
      <w:t xml:space="preserve"> v</w:t>
    </w:r>
    <w:proofErr w:type="gramStart"/>
    <w:r>
      <w:rPr>
        <w:color w:val="777777"/>
        <w:sz w:val="16"/>
        <w:szCs w:val="16"/>
      </w:rPr>
      <w:t>3  |</w:t>
    </w:r>
    <w:proofErr w:type="gramEnd"/>
    <w:r>
      <w:rPr>
        <w:color w:val="777777"/>
        <w:sz w:val="16"/>
        <w:szCs w:val="16"/>
      </w:rPr>
      <w:t xml:space="preserve">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1307E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1307E8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576B" w14:textId="77777777" w:rsidR="0051073A" w:rsidRDefault="0051073A">
      <w:r>
        <w:separator/>
      </w:r>
    </w:p>
  </w:footnote>
  <w:footnote w:type="continuationSeparator" w:id="0">
    <w:p w14:paraId="2A13E87A" w14:textId="77777777" w:rsidR="0051073A" w:rsidRDefault="00510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85B"/>
    <w:multiLevelType w:val="hybridMultilevel"/>
    <w:tmpl w:val="2452CBC4"/>
    <w:lvl w:ilvl="0" w:tplc="BC84B94A">
      <w:start w:val="1"/>
      <w:numFmt w:val="bullet"/>
      <w:lvlText w:val="●"/>
      <w:lvlJc w:val="left"/>
      <w:pPr>
        <w:ind w:left="720" w:hanging="360"/>
      </w:pPr>
    </w:lvl>
    <w:lvl w:ilvl="1" w:tplc="DCD0A1EA">
      <w:start w:val="1"/>
      <w:numFmt w:val="bullet"/>
      <w:lvlText w:val="○"/>
      <w:lvlJc w:val="left"/>
      <w:pPr>
        <w:ind w:left="1440" w:hanging="360"/>
      </w:pPr>
    </w:lvl>
    <w:lvl w:ilvl="2" w:tplc="1DF22634">
      <w:start w:val="1"/>
      <w:numFmt w:val="bullet"/>
      <w:lvlText w:val="■"/>
      <w:lvlJc w:val="left"/>
      <w:pPr>
        <w:ind w:left="2160" w:hanging="360"/>
      </w:pPr>
    </w:lvl>
    <w:lvl w:ilvl="3" w:tplc="2376E534">
      <w:start w:val="1"/>
      <w:numFmt w:val="bullet"/>
      <w:lvlText w:val="●"/>
      <w:lvlJc w:val="left"/>
      <w:pPr>
        <w:ind w:left="2880" w:hanging="360"/>
      </w:pPr>
    </w:lvl>
    <w:lvl w:ilvl="4" w:tplc="B88C5434">
      <w:start w:val="1"/>
      <w:numFmt w:val="bullet"/>
      <w:lvlText w:val="○"/>
      <w:lvlJc w:val="left"/>
      <w:pPr>
        <w:ind w:left="3600" w:hanging="360"/>
      </w:pPr>
    </w:lvl>
    <w:lvl w:ilvl="5" w:tplc="D99E1096">
      <w:start w:val="1"/>
      <w:numFmt w:val="bullet"/>
      <w:lvlText w:val="■"/>
      <w:lvlJc w:val="left"/>
      <w:pPr>
        <w:ind w:left="4320" w:hanging="360"/>
      </w:pPr>
    </w:lvl>
    <w:lvl w:ilvl="6" w:tplc="BC0C95B0">
      <w:start w:val="1"/>
      <w:numFmt w:val="bullet"/>
      <w:lvlText w:val="●"/>
      <w:lvlJc w:val="left"/>
      <w:pPr>
        <w:ind w:left="5040" w:hanging="360"/>
      </w:pPr>
    </w:lvl>
    <w:lvl w:ilvl="7" w:tplc="FEDA984C">
      <w:start w:val="1"/>
      <w:numFmt w:val="bullet"/>
      <w:lvlText w:val="●"/>
      <w:lvlJc w:val="left"/>
      <w:pPr>
        <w:ind w:left="5760" w:hanging="360"/>
      </w:pPr>
    </w:lvl>
    <w:lvl w:ilvl="8" w:tplc="2F729E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1B5329"/>
    <w:multiLevelType w:val="hybridMultilevel"/>
    <w:tmpl w:val="06AE9EFA"/>
    <w:lvl w:ilvl="0" w:tplc="82F8DA8E">
      <w:start w:val="1"/>
      <w:numFmt w:val="decimal"/>
      <w:lvlText w:val="%1."/>
      <w:lvlJc w:val="left"/>
      <w:pPr>
        <w:ind w:left="720" w:hanging="360"/>
      </w:pPr>
    </w:lvl>
    <w:lvl w:ilvl="1" w:tplc="315A9876">
      <w:numFmt w:val="decimal"/>
      <w:lvlText w:val=""/>
      <w:lvlJc w:val="left"/>
    </w:lvl>
    <w:lvl w:ilvl="2" w:tplc="7A1A97C8">
      <w:numFmt w:val="decimal"/>
      <w:lvlText w:val=""/>
      <w:lvlJc w:val="left"/>
    </w:lvl>
    <w:lvl w:ilvl="3" w:tplc="3F46B762">
      <w:numFmt w:val="decimal"/>
      <w:lvlText w:val=""/>
      <w:lvlJc w:val="left"/>
    </w:lvl>
    <w:lvl w:ilvl="4" w:tplc="BB4A9D02">
      <w:numFmt w:val="decimal"/>
      <w:lvlText w:val=""/>
      <w:lvlJc w:val="left"/>
    </w:lvl>
    <w:lvl w:ilvl="5" w:tplc="BCE2DCBE">
      <w:numFmt w:val="decimal"/>
      <w:lvlText w:val=""/>
      <w:lvlJc w:val="left"/>
    </w:lvl>
    <w:lvl w:ilvl="6" w:tplc="F43C4C44">
      <w:numFmt w:val="decimal"/>
      <w:lvlText w:val=""/>
      <w:lvlJc w:val="left"/>
    </w:lvl>
    <w:lvl w:ilvl="7" w:tplc="493CF874">
      <w:numFmt w:val="decimal"/>
      <w:lvlText w:val=""/>
      <w:lvlJc w:val="left"/>
    </w:lvl>
    <w:lvl w:ilvl="8" w:tplc="16AE9112">
      <w:numFmt w:val="decimal"/>
      <w:lvlText w:val=""/>
      <w:lvlJc w:val="left"/>
    </w:lvl>
  </w:abstractNum>
  <w:abstractNum w:abstractNumId="2" w15:restartNumberingAfterBreak="0">
    <w:nsid w:val="740D6772"/>
    <w:multiLevelType w:val="hybridMultilevel"/>
    <w:tmpl w:val="B6DA8090"/>
    <w:lvl w:ilvl="0" w:tplc="AAE45C64">
      <w:start w:val="1"/>
      <w:numFmt w:val="bullet"/>
      <w:lvlText w:val="•"/>
      <w:lvlJc w:val="left"/>
      <w:pPr>
        <w:ind w:left="720" w:hanging="360"/>
      </w:pPr>
    </w:lvl>
    <w:lvl w:ilvl="1" w:tplc="D846778E">
      <w:numFmt w:val="decimal"/>
      <w:lvlText w:val=""/>
      <w:lvlJc w:val="left"/>
    </w:lvl>
    <w:lvl w:ilvl="2" w:tplc="0FA2F950">
      <w:numFmt w:val="decimal"/>
      <w:lvlText w:val=""/>
      <w:lvlJc w:val="left"/>
    </w:lvl>
    <w:lvl w:ilvl="3" w:tplc="3248480E">
      <w:numFmt w:val="decimal"/>
      <w:lvlText w:val=""/>
      <w:lvlJc w:val="left"/>
    </w:lvl>
    <w:lvl w:ilvl="4" w:tplc="B636DEB4">
      <w:numFmt w:val="decimal"/>
      <w:lvlText w:val=""/>
      <w:lvlJc w:val="left"/>
    </w:lvl>
    <w:lvl w:ilvl="5" w:tplc="38FCABD4">
      <w:numFmt w:val="decimal"/>
      <w:lvlText w:val=""/>
      <w:lvlJc w:val="left"/>
    </w:lvl>
    <w:lvl w:ilvl="6" w:tplc="996A00DE">
      <w:numFmt w:val="decimal"/>
      <w:lvlText w:val=""/>
      <w:lvlJc w:val="left"/>
    </w:lvl>
    <w:lvl w:ilvl="7" w:tplc="A0E4D338">
      <w:numFmt w:val="decimal"/>
      <w:lvlText w:val=""/>
      <w:lvlJc w:val="left"/>
    </w:lvl>
    <w:lvl w:ilvl="8" w:tplc="A7481B1E">
      <w:numFmt w:val="decimal"/>
      <w:lvlText w:val=""/>
      <w:lvlJc w:val="left"/>
    </w:lvl>
  </w:abstractNum>
  <w:num w:numId="1" w16cid:durableId="1550259829">
    <w:abstractNumId w:val="0"/>
    <w:lvlOverride w:ilvl="0">
      <w:startOverride w:val="1"/>
    </w:lvlOverride>
  </w:num>
  <w:num w:numId="2" w16cid:durableId="156238096">
    <w:abstractNumId w:val="2"/>
    <w:lvlOverride w:ilvl="0">
      <w:startOverride w:val="1"/>
    </w:lvlOverride>
  </w:num>
  <w:num w:numId="3" w16cid:durableId="1274821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EA"/>
    <w:rsid w:val="001307E8"/>
    <w:rsid w:val="00261860"/>
    <w:rsid w:val="0051073A"/>
    <w:rsid w:val="00EE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2B71"/>
  <w15:docId w15:val="{BD272788-552E-42C2-A2E4-090657AA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6B74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80"/>
      <w:outlineLvl w:val="2"/>
    </w:pPr>
    <w:rPr>
      <w:b/>
      <w:bCs/>
      <w:color w:val="1B6B7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1631</Words>
  <Characters>9301</Characters>
  <Application>Microsoft Office Word</Application>
  <DocSecurity>0</DocSecurity>
  <Lines>77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Perry Stokes</cp:lastModifiedBy>
  <cp:revision>2</cp:revision>
  <dcterms:created xsi:type="dcterms:W3CDTF">2026-05-15T04:25:00Z</dcterms:created>
  <dcterms:modified xsi:type="dcterms:W3CDTF">2026-05-15T04:25:00Z</dcterms:modified>
</cp:coreProperties>
</file>