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B2A4A" w:val="clear"/>
            <w:tcMar>
              <w:top w:type="dxa" w:w="340"/>
              <w:left w:type="dxa" w:w="360"/>
              <w:bottom w:type="dxa" w:w="340"/>
              <w:right w:type="dxa" w:w="360"/>
            </w:tcMar>
          </w:tcPr>
          <w:p>
            <w:pPr>
              <w:spacing w:after="70"/>
            </w:pPr>
            <w:r>
              <w:rPr>
                <w:b/>
                <w:bCs/>
                <w:color w:val="F0A92E"/>
                <w:sz w:val="20"/>
                <w:szCs w:val="20"/>
              </w:rPr>
              <w:t xml:space="preserve">DATA WRANGLER PLATFORM</w:t>
            </w:r>
          </w:p>
          <w:p>
            <w:pPr>
              <w:spacing w:after="90"/>
            </w:pPr>
            <w:r>
              <w:rPr>
                <w:b/>
                <w:bCs/>
                <w:color w:val="FFFFFF"/>
                <w:sz w:val="64"/>
                <w:szCs w:val="64"/>
              </w:rPr>
              <w:t xml:space="preserve">Data Wrangler</w:t>
            </w:r>
          </w:p>
          <w:p>
            <w:r>
              <w:rPr>
                <w:color w:val="D6E4F0"/>
                <w:sz w:val="26"/>
                <w:szCs w:val="26"/>
              </w:rPr>
              <w:t xml:space="preserve">A self-contained data management platform for petroleum well data — with built-in governance.</w:t>
            </w:r>
          </w:p>
        </w:tc>
      </w:tr>
    </w:tbl>
    <w:p>
      <w:pPr>
        <w:spacing w:after="120"/>
      </w:pPr>
    </w:p>
    <w:p>
      <w:pPr>
        <w:pStyle w:val="Heading1"/>
      </w:pPr>
      <w:r>
        <w:t xml:space="preserve">The challenge</w:t>
      </w:r>
    </w:p>
    <w:p>
      <w:pPr>
        <w:spacing w:after="120" w:line="276"/>
      </w:pPr>
      <w:r>
        <w:rPr>
          <w:b w:val="false"/>
          <w:bCs w:val="false"/>
          <w:i w:val="false"/>
          <w:iCs w:val="false"/>
        </w:rPr>
        <w:t xml:space="preserve">Well data lives in too many places and too many tools. Public data is rented from cloud subscriptions you never own. Your own files sit ungoverned on shared drives. Loading and reconciling data is a constant battle, and the foreign-key relationships that make the data usable break the moment something is loaded out of order. Most teams stitch together several expensive products and a data team to cope.</w:t>
      </w:r>
    </w:p>
    <w:p>
      <w:pPr>
        <w:spacing w:after="120" w:line="276"/>
      </w:pPr>
      <w:r>
        <w:rPr>
          <w:b/>
          <w:bCs/>
          <w:i w:val="false"/>
          <w:iCs w:val="false"/>
        </w:rPr>
        <w:t xml:space="preserve">Data Wrangler replaces that sprawl with one self-contained platform that runs on your own SQL Server — your data, your control — and bundles the loader, the governance, the mapping, and the public data in a single license.</w:t>
      </w:r>
    </w:p>
    <w:p>
      <w:pPr>
        <w:pStyle w:val="Heading1"/>
      </w:pPr>
      <w:r>
        <w:t xml:space="preserve">One platform, built around your data</w:t>
      </w:r>
    </w:p>
    <w:p>
      <w:pPr>
        <w:spacing w:after="60" w:before="100"/>
        <w:jc w:val="center"/>
      </w:pPr>
      <w:r>
        <w:drawing>
          <wp:inline distT="0" distB="0" distL="0" distR="0">
            <wp:extent cx="66294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29400" cy="3048000"/>
                    </a:xfrm>
                    <a:prstGeom prst="rect">
                      <a:avLst/>
                    </a:prstGeom>
                  </pic:spPr>
                </pic:pic>
              </a:graphicData>
            </a:graphic>
          </wp:inline>
        </w:drawing>
      </w:r>
    </w:p>
    <w:p>
      <w:pPr>
        <w:spacing w:after="180"/>
        <w:jc w:val="center"/>
      </w:pPr>
      <w:r>
        <w:rPr>
          <w:i/>
          <w:iCs/>
          <w:color w:val="5B6B7E"/>
          <w:sz w:val="18"/>
          <w:szCs w:val="18"/>
        </w:rPr>
        <w:t xml:space="preserve">Data Wrangler — inputs flow in, the platform governs and curates, you explore and deliver.</w:t>
      </w:r>
    </w:p>
    <w:p>
      <w:pPr>
        <w:pStyle w:val="Heading1"/>
      </w:pPr>
      <w: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DE7" w:sz="1"/>
              <w:left w:val="single" w:color="D3DDE7" w:sz="1"/>
              <w:bottom w:val="single" w:color="D3DDE7" w:sz="1"/>
              <w:right w:val="single" w:color="D3DDE7" w:sz="1"/>
            </w:tcBorders>
            <w:shd w:fill="F6F9FC" w:val="clear"/>
            <w:tcMar>
              <w:top w:type="dxa" w:w="150"/>
              <w:left w:type="dxa" w:w="170"/>
              <w:bottom w:type="dxa" w:w="150"/>
              <w:right w:type="dxa" w:w="170"/>
            </w:tcMar>
            <w:vAlign w:val="top"/>
          </w:tcPr>
          <w:p>
            <w:pPr>
              <w:spacing w:after="50"/>
            </w:pPr>
            <w:r>
              <w:rPr>
                <w:b/>
                <w:bCs/>
                <w:color w:val="14507A"/>
                <w:sz w:val="22"/>
                <w:szCs w:val="22"/>
              </w:rPr>
              <w:t xml:space="preserve">Self-contained, with built-in governance</w:t>
            </w:r>
          </w:p>
          <w:p>
            <w:r>
              <w:rPr>
                <w:sz w:val="20"/>
                <w:szCs w:val="20"/>
              </w:rPr>
              <w:t xml:space="preserve">Runs entirely on your own SQL Server. No cloud lock-in, no per-seat data rental. Fingerprinting, the vault, provenance and readiness give you governance out of the box.</w:t>
            </w:r>
          </w:p>
        </w:tc>
        <w:tc>
          <w:tcPr>
            <w:tcW w:type="dxa" w:w="4680"/>
            <w:tcBorders>
              <w:top w:val="single" w:color="D3DDE7" w:sz="1"/>
              <w:left w:val="single" w:color="D3DDE7" w:sz="1"/>
              <w:bottom w:val="single" w:color="D3DDE7" w:sz="1"/>
              <w:right w:val="single" w:color="D3DDE7" w:sz="1"/>
            </w:tcBorders>
            <w:shd w:fill="F6F9FC" w:val="clear"/>
            <w:tcMar>
              <w:top w:type="dxa" w:w="150"/>
              <w:left w:type="dxa" w:w="170"/>
              <w:bottom w:type="dxa" w:w="150"/>
              <w:right w:type="dxa" w:w="170"/>
            </w:tcMar>
            <w:vAlign w:val="top"/>
          </w:tcPr>
          <w:p>
            <w:pPr>
              <w:spacing w:after="50"/>
            </w:pPr>
            <w:r>
              <w:rPr>
                <w:b/>
                <w:bCs/>
                <w:color w:val="14507A"/>
                <w:sz w:val="22"/>
                <w:szCs w:val="22"/>
              </w:rPr>
              <w:t xml:space="preserve">A DataView-optimized database</w:t>
            </w:r>
          </w:p>
          <w:p>
            <w:r>
              <w:rPr>
                <w:sz w:val="20"/>
                <w:szCs w:val="20"/>
              </w:rPr>
              <w:t xml:space="preserve">A curated, industry-standard (PPDM-aligned) well-data model, tuned for fast query and for the integrated mapping system — not a generic schema you have to adapt.</w:t>
            </w:r>
          </w:p>
        </w:tc>
      </w:tr>
      <w:tr>
        <w:tc>
          <w:tcPr>
            <w:tcW w:type="dxa" w:w="4680"/>
            <w:tcBorders>
              <w:top w:val="single" w:color="D3DDE7" w:sz="1"/>
              <w:left w:val="single" w:color="D3DDE7" w:sz="1"/>
              <w:bottom w:val="single" w:color="D3DDE7" w:sz="1"/>
              <w:right w:val="single" w:color="D3DDE7" w:sz="1"/>
            </w:tcBorders>
            <w:shd w:fill="F6F9FC" w:val="clear"/>
            <w:tcMar>
              <w:top w:type="dxa" w:w="150"/>
              <w:left w:type="dxa" w:w="170"/>
              <w:bottom w:type="dxa" w:w="150"/>
              <w:right w:type="dxa" w:w="170"/>
            </w:tcMar>
            <w:vAlign w:val="top"/>
          </w:tcPr>
          <w:p>
            <w:pPr>
              <w:spacing w:after="50"/>
            </w:pPr>
            <w:r>
              <w:rPr>
                <w:b/>
                <w:bCs/>
                <w:color w:val="14507A"/>
                <w:sz w:val="22"/>
                <w:szCs w:val="22"/>
              </w:rPr>
              <w:t xml:space="preserve">Robust ETL for rapid loading</w:t>
            </w:r>
          </w:p>
          <w:p>
            <w:r>
              <w:rPr>
                <w:sz w:val="20"/>
                <w:szCs w:val="20"/>
              </w:rPr>
              <w:t xml:space="preserve">Fingerprints files for fast, de-duplicated ingestion and resolves foreign keys inline with the load — not as a fragile post-process — so data lands clean and connected the first time.</w:t>
            </w:r>
          </w:p>
        </w:tc>
        <w:tc>
          <w:tcPr>
            <w:tcW w:type="dxa" w:w="4680"/>
            <w:tcBorders>
              <w:top w:val="single" w:color="D3DDE7" w:sz="1"/>
              <w:left w:val="single" w:color="D3DDE7" w:sz="1"/>
              <w:bottom w:val="single" w:color="D3DDE7" w:sz="1"/>
              <w:right w:val="single" w:color="D3DDE7" w:sz="1"/>
            </w:tcBorders>
            <w:shd w:fill="F6F9FC" w:val="clear"/>
            <w:tcMar>
              <w:top w:type="dxa" w:w="150"/>
              <w:left w:type="dxa" w:w="170"/>
              <w:bottom w:type="dxa" w:w="150"/>
              <w:right w:type="dxa" w:w="170"/>
            </w:tcMar>
            <w:vAlign w:val="top"/>
          </w:tcPr>
          <w:p>
            <w:pPr>
              <w:spacing w:after="50"/>
            </w:pPr>
            <w:r>
              <w:rPr>
                <w:b/>
                <w:bCs/>
                <w:color w:val="14507A"/>
                <w:sz w:val="22"/>
                <w:szCs w:val="22"/>
              </w:rPr>
              <w:t xml:space="preserve">The File Catalog</w:t>
            </w:r>
          </w:p>
          <w:p>
            <w:r>
              <w:rPr>
                <w:sz w:val="20"/>
                <w:szCs w:val="20"/>
              </w:rPr>
              <w:t xml:space="preserve">Built-in governance for your unstructured files: inventory, classify, match to wells, protect in the vault, and view in place. (See the dedicated File Catalog brief.)</w:t>
            </w:r>
          </w:p>
        </w:tc>
      </w:tr>
      <w:tr>
        <w:tc>
          <w:tcPr>
            <w:tcW w:type="dxa" w:w="4680"/>
            <w:tcBorders>
              <w:top w:val="single" w:color="D3DDE7" w:sz="1"/>
              <w:left w:val="single" w:color="D3DDE7" w:sz="1"/>
              <w:bottom w:val="single" w:color="D3DDE7" w:sz="1"/>
              <w:right w:val="single" w:color="D3DDE7" w:sz="1"/>
            </w:tcBorders>
            <w:shd w:fill="F6F9FC" w:val="clear"/>
            <w:tcMar>
              <w:top w:type="dxa" w:w="150"/>
              <w:left w:type="dxa" w:w="170"/>
              <w:bottom w:type="dxa" w:w="150"/>
              <w:right w:type="dxa" w:w="170"/>
            </w:tcMar>
            <w:vAlign w:val="top"/>
          </w:tcPr>
          <w:p>
            <w:pPr>
              <w:spacing w:after="50"/>
            </w:pPr>
            <w:r>
              <w:rPr>
                <w:b/>
                <w:bCs/>
                <w:color w:val="14507A"/>
                <w:sz w:val="22"/>
                <w:szCs w:val="22"/>
              </w:rPr>
              <w:t xml:space="preserve">Integrated mapping</w:t>
            </w:r>
          </w:p>
          <w:p>
            <w:r>
              <w:rPr>
                <w:sz w:val="20"/>
                <w:szCs w:val="20"/>
              </w:rPr>
              <w:t xml:space="preserve">A built-in mapping system over your wells and the public federation. Explore by density, search, draw-to-select, and export straight from the map.</w:t>
            </w:r>
          </w:p>
        </w:tc>
        <w:tc>
          <w:tcPr>
            <w:tcW w:type="dxa" w:w="4680"/>
            <w:tcBorders>
              <w:top w:val="single" w:color="D3DDE7" w:sz="1"/>
              <w:left w:val="single" w:color="D3DDE7" w:sz="1"/>
              <w:bottom w:val="single" w:color="D3DDE7" w:sz="1"/>
              <w:right w:val="single" w:color="D3DDE7" w:sz="1"/>
            </w:tcBorders>
            <w:shd w:fill="F6F9FC" w:val="clear"/>
            <w:tcMar>
              <w:top w:type="dxa" w:w="150"/>
              <w:left w:type="dxa" w:w="170"/>
              <w:bottom w:type="dxa" w:w="150"/>
              <w:right w:type="dxa" w:w="170"/>
            </w:tcMar>
            <w:vAlign w:val="top"/>
          </w:tcPr>
          <w:p>
            <w:pPr>
              <w:spacing w:after="50"/>
            </w:pPr>
            <w:r>
              <w:rPr>
                <w:b/>
                <w:bCs/>
                <w:color w:val="14507A"/>
                <w:sz w:val="22"/>
                <w:szCs w:val="22"/>
              </w:rPr>
              <w:t xml:space="preserve">Federated public well data</w:t>
            </w:r>
          </w:p>
          <w:p>
            <w:r>
              <w:rPr>
                <w:sz w:val="20"/>
                <w:szCs w:val="20"/>
              </w:rPr>
              <w:t xml:space="preserve">Over 2.5 million wells across all US producing states, federated from state and federal public sources — included, on your server, not rented from a portal.</w:t>
            </w:r>
          </w:p>
        </w:tc>
      </w:tr>
    </w:tbl>
    <w:p>
      <w:pPr>
        <w:spacing w:after="140"/>
      </w:pPr>
    </w:p>
    <w:p>
      <w:pPr>
        <w:pStyle w:val="Heading1"/>
      </w:pPr>
      <w:r>
        <w:t xml:space="preserve">Built-in data governance</w:t>
      </w:r>
    </w:p>
    <w:p>
      <w:pPr>
        <w:spacing w:after="120" w:line="276"/>
      </w:pPr>
      <w:r>
        <w:rPr>
          <w:b w:val="false"/>
          <w:bCs w:val="false"/>
          <w:i w:val="false"/>
          <w:iCs w:val="false"/>
        </w:rPr>
        <w:t xml:space="preserve">Governance isn’t a bolt-on in Data Wrangler — it is how the platform works. Every file is fingerprinted and de-duplicated on the way in. Foreign keys are resolved during loading, so relationships are never left dangling. Catalogued files are copied into a protected vault and tracked with full provenance, and every file carries a readiness state and quality score. The result is data you can trust and trace, from the original file to the delivered export.</w:t>
      </w:r>
    </w:p>
    <w:p>
      <w:pPr>
        <w:pStyle w:val="Heading1"/>
      </w:pPr>
      <w:r>
        <w:t xml:space="preserve">How Data Wrangler compares</w:t>
      </w:r>
    </w:p>
    <w:p>
      <w:pPr>
        <w:spacing w:after="120" w:line="276"/>
      </w:pPr>
      <w:r>
        <w:rPr>
          <w:b w:val="false"/>
          <w:bCs w:val="false"/>
          <w:i w:val="false"/>
          <w:iCs w:val="false"/>
        </w:rPr>
        <w:t xml:space="preserve">The capabilities below normally require several separate products plus a data team. Data Wrangler brings them together in one self-hosted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300"/>
        <w:gridCol w:w="1660"/>
        <w:gridCol w:w="1560"/>
        <w:gridCol w:w="1680"/>
      </w:tblGrid>
      <w:tr>
        <w:trPr>
          <w:tblHeader/>
        </w:trPr>
        <w:tc>
          <w:tcPr>
            <w:tcW w:type="dxa" w:w="3160"/>
            <w:tcBorders>
              <w:top w:val="single" w:color="D3DDE7" w:sz="1"/>
              <w:left w:val="single" w:color="D3DDE7" w:sz="1"/>
              <w:bottom w:val="single" w:color="D3DDE7" w:sz="1"/>
              <w:right w:val="single" w:color="D3DDE7" w:sz="1"/>
            </w:tcBorders>
            <w:shd w:fill="0B2A4A" w:val="clear"/>
            <w:tcMar>
              <w:top w:type="dxa" w:w="90"/>
              <w:left w:type="dxa" w:w="110"/>
              <w:bottom w:type="dxa" w:w="90"/>
              <w:right w:type="dxa" w:w="110"/>
            </w:tcMar>
            <w:vAlign w:val="center"/>
          </w:tcPr>
          <w:p>
            <w:pPr>
              <w:jc w:val="left"/>
            </w:pPr>
            <w:r>
              <w:rPr>
                <w:b/>
                <w:bCs/>
                <w:color w:val="FFFFFF"/>
                <w:sz w:val="19"/>
                <w:szCs w:val="19"/>
              </w:rPr>
              <w:t xml:space="preserve">Capability</w:t>
            </w:r>
          </w:p>
        </w:tc>
        <w:tc>
          <w:tcPr>
            <w:tcW w:type="dxa" w:w="1300"/>
            <w:tcBorders>
              <w:top w:val="single" w:color="D3DDE7" w:sz="1"/>
              <w:left w:val="single" w:color="D3DDE7" w:sz="1"/>
              <w:bottom w:val="single" w:color="D3DDE7" w:sz="1"/>
              <w:right w:val="single" w:color="D3DDE7" w:sz="1"/>
            </w:tcBorders>
            <w:shd w:fill="0B2A4A" w:val="clear"/>
            <w:tcMar>
              <w:top w:type="dxa" w:w="90"/>
              <w:left w:type="dxa" w:w="110"/>
              <w:bottom w:type="dxa" w:w="90"/>
              <w:right w:type="dxa" w:w="110"/>
            </w:tcMar>
            <w:vAlign w:val="center"/>
          </w:tcPr>
          <w:p>
            <w:pPr>
              <w:jc w:val="center"/>
            </w:pPr>
            <w:r>
              <w:rPr>
                <w:b/>
                <w:bCs/>
                <w:color w:val="FFFFFF"/>
                <w:sz w:val="19"/>
                <w:szCs w:val="19"/>
              </w:rPr>
              <w:t xml:space="preserve">Data Wrangler</w:t>
            </w:r>
          </w:p>
        </w:tc>
        <w:tc>
          <w:tcPr>
            <w:tcW w:type="dxa" w:w="1660"/>
            <w:tcBorders>
              <w:top w:val="single" w:color="D3DDE7" w:sz="1"/>
              <w:left w:val="single" w:color="D3DDE7" w:sz="1"/>
              <w:bottom w:val="single" w:color="D3DDE7" w:sz="1"/>
              <w:right w:val="single" w:color="D3DDE7" w:sz="1"/>
            </w:tcBorders>
            <w:shd w:fill="0B2A4A" w:val="clear"/>
            <w:tcMar>
              <w:top w:type="dxa" w:w="90"/>
              <w:left w:type="dxa" w:w="110"/>
              <w:bottom w:type="dxa" w:w="90"/>
              <w:right w:type="dxa" w:w="110"/>
            </w:tcMar>
            <w:vAlign w:val="center"/>
          </w:tcPr>
          <w:p>
            <w:pPr>
              <w:jc w:val="center"/>
            </w:pPr>
            <w:r>
              <w:rPr>
                <w:b/>
                <w:bCs/>
                <w:color w:val="FFFFFF"/>
                <w:sz w:val="19"/>
                <w:szCs w:val="19"/>
              </w:rPr>
              <w:t xml:space="preserve">Interpretation suites</w:t>
            </w:r>
          </w:p>
        </w:tc>
        <w:tc>
          <w:tcPr>
            <w:tcW w:type="dxa" w:w="1560"/>
            <w:tcBorders>
              <w:top w:val="single" w:color="D3DDE7" w:sz="1"/>
              <w:left w:val="single" w:color="D3DDE7" w:sz="1"/>
              <w:bottom w:val="single" w:color="D3DDE7" w:sz="1"/>
              <w:right w:val="single" w:color="D3DDE7" w:sz="1"/>
            </w:tcBorders>
            <w:shd w:fill="0B2A4A" w:val="clear"/>
            <w:tcMar>
              <w:top w:type="dxa" w:w="90"/>
              <w:left w:type="dxa" w:w="110"/>
              <w:bottom w:type="dxa" w:w="90"/>
              <w:right w:type="dxa" w:w="110"/>
            </w:tcMar>
            <w:vAlign w:val="center"/>
          </w:tcPr>
          <w:p>
            <w:pPr>
              <w:jc w:val="center"/>
            </w:pPr>
            <w:r>
              <w:rPr>
                <w:b/>
                <w:bCs/>
                <w:color w:val="FFFFFF"/>
                <w:sz w:val="19"/>
                <w:szCs w:val="19"/>
              </w:rPr>
              <w:t xml:space="preserve">Data subscriptions</w:t>
            </w:r>
          </w:p>
        </w:tc>
        <w:tc>
          <w:tcPr>
            <w:tcW w:type="dxa" w:w="1680"/>
            <w:tcBorders>
              <w:top w:val="single" w:color="D3DDE7" w:sz="1"/>
              <w:left w:val="single" w:color="D3DDE7" w:sz="1"/>
              <w:bottom w:val="single" w:color="D3DDE7" w:sz="1"/>
              <w:right w:val="single" w:color="D3DDE7" w:sz="1"/>
            </w:tcBorders>
            <w:shd w:fill="0B2A4A" w:val="clear"/>
            <w:tcMar>
              <w:top w:type="dxa" w:w="90"/>
              <w:left w:type="dxa" w:w="110"/>
              <w:bottom w:type="dxa" w:w="90"/>
              <w:right w:type="dxa" w:w="110"/>
            </w:tcMar>
            <w:vAlign w:val="center"/>
          </w:tcPr>
          <w:p>
            <w:pPr>
              <w:jc w:val="center"/>
            </w:pPr>
            <w:r>
              <w:rPr>
                <w:b/>
                <w:bCs/>
                <w:color w:val="FFFFFF"/>
                <w:sz w:val="19"/>
                <w:szCs w:val="19"/>
              </w:rPr>
              <w:t xml:space="preserve">In-house / OSDU build</w:t>
            </w:r>
          </w:p>
        </w:tc>
      </w:tr>
      <w:tr>
        <w:tc>
          <w:tcPr>
            <w:tcW w:type="dxa" w:w="316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left"/>
            </w:pPr>
            <w:r>
              <w:rPr>
                <w:b/>
                <w:bCs/>
                <w:sz w:val="20"/>
                <w:szCs w:val="20"/>
              </w:rPr>
              <w:t xml:space="preserve">Self-hosted — you own the data</w:t>
            </w:r>
          </w:p>
        </w:tc>
        <w:tc>
          <w:tcPr>
            <w:tcW w:type="dxa" w:w="130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bCs/>
                <w:color w:val="0E7C4A"/>
                <w:sz w:val="19"/>
                <w:szCs w:val="19"/>
              </w:rPr>
              <w:t xml:space="preserve">✓ Included</w:t>
            </w:r>
          </w:p>
        </w:tc>
        <w:tc>
          <w:tcPr>
            <w:tcW w:type="dxa" w:w="166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val="false"/>
                <w:bCs w:val="false"/>
                <w:color w:val="B9772A"/>
                <w:sz w:val="19"/>
                <w:szCs w:val="19"/>
              </w:rPr>
              <w:t xml:space="preserve">Varies</w:t>
            </w:r>
          </w:p>
        </w:tc>
        <w:tc>
          <w:tcPr>
            <w:tcW w:type="dxa" w:w="156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val="false"/>
                <w:bCs w:val="false"/>
                <w:color w:val="5B6B7E"/>
                <w:sz w:val="19"/>
                <w:szCs w:val="19"/>
              </w:rPr>
              <w:t xml:space="preserve">—</w:t>
            </w:r>
          </w:p>
        </w:tc>
        <w:tc>
          <w:tcPr>
            <w:tcW w:type="dxa" w:w="168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bCs/>
                <w:color w:val="0E7C4A"/>
                <w:sz w:val="19"/>
                <w:szCs w:val="19"/>
              </w:rPr>
              <w:t xml:space="preserve">✓ Included</w:t>
            </w:r>
          </w:p>
        </w:tc>
      </w:tr>
      <w:tr>
        <w:tc>
          <w:tcPr>
            <w:tcW w:type="dxa" w:w="316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left"/>
            </w:pPr>
            <w:r>
              <w:rPr>
                <w:b/>
                <w:bCs/>
                <w:sz w:val="20"/>
                <w:szCs w:val="20"/>
              </w:rPr>
              <w:t xml:space="preserve">One-time license, not a subscription</w:t>
            </w:r>
          </w:p>
        </w:tc>
        <w:tc>
          <w:tcPr>
            <w:tcW w:type="dxa" w:w="130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center"/>
            </w:pPr>
            <w:r>
              <w:rPr>
                <w:b/>
                <w:bCs/>
                <w:color w:val="0E7C4A"/>
                <w:sz w:val="19"/>
                <w:szCs w:val="19"/>
              </w:rPr>
              <w:t xml:space="preserve">✓ Included</w:t>
            </w:r>
          </w:p>
        </w:tc>
        <w:tc>
          <w:tcPr>
            <w:tcW w:type="dxa" w:w="166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center"/>
            </w:pPr>
            <w:r>
              <w:rPr>
                <w:b w:val="false"/>
                <w:bCs w:val="false"/>
                <w:color w:val="B9772A"/>
                <w:sz w:val="19"/>
                <w:szCs w:val="19"/>
              </w:rPr>
              <w:t xml:space="preserve">Varies</w:t>
            </w:r>
          </w:p>
        </w:tc>
        <w:tc>
          <w:tcPr>
            <w:tcW w:type="dxa" w:w="156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center"/>
            </w:pPr>
            <w:r>
              <w:rPr>
                <w:b w:val="false"/>
                <w:bCs w:val="false"/>
                <w:color w:val="5B6B7E"/>
                <w:sz w:val="19"/>
                <w:szCs w:val="19"/>
              </w:rPr>
              <w:t xml:space="preserve">—</w:t>
            </w:r>
          </w:p>
        </w:tc>
        <w:tc>
          <w:tcPr>
            <w:tcW w:type="dxa" w:w="168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center"/>
            </w:pPr>
            <w:r>
              <w:rPr>
                <w:b w:val="false"/>
                <w:bCs w:val="false"/>
                <w:color w:val="B9772A"/>
                <w:sz w:val="19"/>
                <w:szCs w:val="19"/>
              </w:rPr>
              <w:t xml:space="preserve">Build cost</w:t>
            </w:r>
          </w:p>
        </w:tc>
      </w:tr>
      <w:tr>
        <w:tc>
          <w:tcPr>
            <w:tcW w:type="dxa" w:w="316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left"/>
            </w:pPr>
            <w:r>
              <w:rPr>
                <w:b/>
                <w:bCs/>
                <w:sz w:val="20"/>
                <w:szCs w:val="20"/>
              </w:rPr>
              <w:t xml:space="preserve">ETL loader with inline FK resolution</w:t>
            </w:r>
          </w:p>
        </w:tc>
        <w:tc>
          <w:tcPr>
            <w:tcW w:type="dxa" w:w="130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bCs/>
                <w:color w:val="0E7C4A"/>
                <w:sz w:val="19"/>
                <w:szCs w:val="19"/>
              </w:rPr>
              <w:t xml:space="preserve">✓ Included</w:t>
            </w:r>
          </w:p>
        </w:tc>
        <w:tc>
          <w:tcPr>
            <w:tcW w:type="dxa" w:w="166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val="false"/>
                <w:bCs w:val="false"/>
                <w:color w:val="5B6B7E"/>
                <w:sz w:val="19"/>
                <w:szCs w:val="19"/>
              </w:rPr>
              <w:t xml:space="preserve">—</w:t>
            </w:r>
          </w:p>
        </w:tc>
        <w:tc>
          <w:tcPr>
            <w:tcW w:type="dxa" w:w="156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val="false"/>
                <w:bCs w:val="false"/>
                <w:color w:val="5B6B7E"/>
                <w:sz w:val="19"/>
                <w:szCs w:val="19"/>
              </w:rPr>
              <w:t xml:space="preserve">—</w:t>
            </w:r>
          </w:p>
        </w:tc>
        <w:tc>
          <w:tcPr>
            <w:tcW w:type="dxa" w:w="168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val="false"/>
                <w:bCs w:val="false"/>
                <w:color w:val="B9772A"/>
                <w:sz w:val="19"/>
                <w:szCs w:val="19"/>
              </w:rPr>
              <w:t xml:space="preserve">Build it</w:t>
            </w:r>
          </w:p>
        </w:tc>
      </w:tr>
      <w:tr>
        <w:tc>
          <w:tcPr>
            <w:tcW w:type="dxa" w:w="316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left"/>
            </w:pPr>
            <w:r>
              <w:rPr>
                <w:b/>
                <w:bCs/>
                <w:sz w:val="20"/>
                <w:szCs w:val="20"/>
              </w:rPr>
              <w:t xml:space="preserve">File &amp; document catalog + governance</w:t>
            </w:r>
          </w:p>
        </w:tc>
        <w:tc>
          <w:tcPr>
            <w:tcW w:type="dxa" w:w="130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center"/>
            </w:pPr>
            <w:r>
              <w:rPr>
                <w:b/>
                <w:bCs/>
                <w:color w:val="0E7C4A"/>
                <w:sz w:val="19"/>
                <w:szCs w:val="19"/>
              </w:rPr>
              <w:t xml:space="preserve">✓ Included</w:t>
            </w:r>
          </w:p>
        </w:tc>
        <w:tc>
          <w:tcPr>
            <w:tcW w:type="dxa" w:w="166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center"/>
            </w:pPr>
            <w:r>
              <w:rPr>
                <w:b w:val="false"/>
                <w:bCs w:val="false"/>
                <w:color w:val="5B6B7E"/>
                <w:sz w:val="19"/>
                <w:szCs w:val="19"/>
              </w:rPr>
              <w:t xml:space="preserve">—</w:t>
            </w:r>
          </w:p>
        </w:tc>
        <w:tc>
          <w:tcPr>
            <w:tcW w:type="dxa" w:w="156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center"/>
            </w:pPr>
            <w:r>
              <w:rPr>
                <w:b w:val="false"/>
                <w:bCs w:val="false"/>
                <w:color w:val="5B6B7E"/>
                <w:sz w:val="19"/>
                <w:szCs w:val="19"/>
              </w:rPr>
              <w:t xml:space="preserve">—</w:t>
            </w:r>
          </w:p>
        </w:tc>
        <w:tc>
          <w:tcPr>
            <w:tcW w:type="dxa" w:w="168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center"/>
            </w:pPr>
            <w:r>
              <w:rPr>
                <w:b w:val="false"/>
                <w:bCs w:val="false"/>
                <w:color w:val="B9772A"/>
                <w:sz w:val="19"/>
                <w:szCs w:val="19"/>
              </w:rPr>
              <w:t xml:space="preserve">Build it</w:t>
            </w:r>
          </w:p>
        </w:tc>
      </w:tr>
      <w:tr>
        <w:tc>
          <w:tcPr>
            <w:tcW w:type="dxa" w:w="316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left"/>
            </w:pPr>
            <w:r>
              <w:rPr>
                <w:b/>
                <w:bCs/>
                <w:sz w:val="20"/>
                <w:szCs w:val="20"/>
              </w:rPr>
              <w:t xml:space="preserve">Integrated mapping</w:t>
            </w:r>
          </w:p>
        </w:tc>
        <w:tc>
          <w:tcPr>
            <w:tcW w:type="dxa" w:w="130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bCs/>
                <w:color w:val="0E7C4A"/>
                <w:sz w:val="19"/>
                <w:szCs w:val="19"/>
              </w:rPr>
              <w:t xml:space="preserve">✓ Included</w:t>
            </w:r>
          </w:p>
        </w:tc>
        <w:tc>
          <w:tcPr>
            <w:tcW w:type="dxa" w:w="166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bCs/>
                <w:color w:val="0E7C4A"/>
                <w:sz w:val="19"/>
                <w:szCs w:val="19"/>
              </w:rPr>
              <w:t xml:space="preserve">✓ Included</w:t>
            </w:r>
          </w:p>
        </w:tc>
        <w:tc>
          <w:tcPr>
            <w:tcW w:type="dxa" w:w="156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val="false"/>
                <w:bCs w:val="false"/>
                <w:color w:val="B9772A"/>
                <w:sz w:val="19"/>
                <w:szCs w:val="19"/>
              </w:rPr>
              <w:t xml:space="preserve">Portal</w:t>
            </w:r>
          </w:p>
        </w:tc>
        <w:tc>
          <w:tcPr>
            <w:tcW w:type="dxa" w:w="168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val="false"/>
                <w:bCs w:val="false"/>
                <w:color w:val="B9772A"/>
                <w:sz w:val="19"/>
                <w:szCs w:val="19"/>
              </w:rPr>
              <w:t xml:space="preserve">Build it</w:t>
            </w:r>
          </w:p>
        </w:tc>
      </w:tr>
      <w:tr>
        <w:tc>
          <w:tcPr>
            <w:tcW w:type="dxa" w:w="316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left"/>
            </w:pPr>
            <w:r>
              <w:rPr>
                <w:b/>
                <w:bCs/>
                <w:sz w:val="20"/>
                <w:szCs w:val="20"/>
              </w:rPr>
              <w:t xml:space="preserve">Public US well data, all producing states</w:t>
            </w:r>
          </w:p>
        </w:tc>
        <w:tc>
          <w:tcPr>
            <w:tcW w:type="dxa" w:w="130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center"/>
            </w:pPr>
            <w:r>
              <w:rPr>
                <w:b/>
                <w:bCs/>
                <w:color w:val="0E7C4A"/>
                <w:sz w:val="19"/>
                <w:szCs w:val="19"/>
              </w:rPr>
              <w:t xml:space="preserve">✓ Included</w:t>
            </w:r>
          </w:p>
        </w:tc>
        <w:tc>
          <w:tcPr>
            <w:tcW w:type="dxa" w:w="166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center"/>
            </w:pPr>
            <w:r>
              <w:rPr>
                <w:b w:val="false"/>
                <w:bCs w:val="false"/>
                <w:color w:val="5B6B7E"/>
                <w:sz w:val="19"/>
                <w:szCs w:val="19"/>
              </w:rPr>
              <w:t xml:space="preserve">—</w:t>
            </w:r>
          </w:p>
        </w:tc>
        <w:tc>
          <w:tcPr>
            <w:tcW w:type="dxa" w:w="156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center"/>
            </w:pPr>
            <w:r>
              <w:rPr>
                <w:b w:val="false"/>
                <w:bCs w:val="false"/>
                <w:color w:val="B9772A"/>
                <w:sz w:val="19"/>
                <w:szCs w:val="19"/>
              </w:rPr>
              <w:t xml:space="preserve">Rented</w:t>
            </w:r>
          </w:p>
        </w:tc>
        <w:tc>
          <w:tcPr>
            <w:tcW w:type="dxa" w:w="1680"/>
            <w:tcBorders>
              <w:top w:val="single" w:color="D3DDE7" w:sz="1"/>
              <w:left w:val="single" w:color="D3DDE7" w:sz="1"/>
              <w:bottom w:val="single" w:color="D3DDE7" w:sz="1"/>
              <w:right w:val="single" w:color="D3DDE7" w:sz="1"/>
            </w:tcBorders>
            <w:shd w:fill="FFFFFF" w:val="clear"/>
            <w:tcMar>
              <w:top w:type="dxa" w:w="80"/>
              <w:left w:type="dxa" w:w="110"/>
              <w:bottom w:type="dxa" w:w="80"/>
              <w:right w:type="dxa" w:w="110"/>
            </w:tcMar>
            <w:vAlign w:val="center"/>
          </w:tcPr>
          <w:p>
            <w:pPr>
              <w:jc w:val="center"/>
            </w:pPr>
            <w:r>
              <w:rPr>
                <w:b w:val="false"/>
                <w:bCs w:val="false"/>
                <w:color w:val="5B6B7E"/>
                <w:sz w:val="19"/>
                <w:szCs w:val="19"/>
              </w:rPr>
              <w:t xml:space="preserve">—</w:t>
            </w:r>
          </w:p>
        </w:tc>
      </w:tr>
      <w:tr>
        <w:tc>
          <w:tcPr>
            <w:tcW w:type="dxa" w:w="316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left"/>
            </w:pPr>
            <w:r>
              <w:rPr>
                <w:b/>
                <w:bCs/>
                <w:sz w:val="20"/>
                <w:szCs w:val="20"/>
              </w:rPr>
              <w:t xml:space="preserve">Time to value</w:t>
            </w:r>
          </w:p>
        </w:tc>
        <w:tc>
          <w:tcPr>
            <w:tcW w:type="dxa" w:w="130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bCs/>
                <w:color w:val="0E7C4A"/>
                <w:sz w:val="19"/>
                <w:szCs w:val="19"/>
              </w:rPr>
              <w:t xml:space="preserve">Weeks</w:t>
            </w:r>
          </w:p>
        </w:tc>
        <w:tc>
          <w:tcPr>
            <w:tcW w:type="dxa" w:w="166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val="false"/>
                <w:bCs w:val="false"/>
                <w:color w:val="B9772A"/>
                <w:sz w:val="19"/>
                <w:szCs w:val="19"/>
              </w:rPr>
              <w:t xml:space="preserve">Weeks</w:t>
            </w:r>
          </w:p>
        </w:tc>
        <w:tc>
          <w:tcPr>
            <w:tcW w:type="dxa" w:w="156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val="false"/>
                <w:bCs w:val="false"/>
                <w:color w:val="B9772A"/>
                <w:sz w:val="19"/>
                <w:szCs w:val="19"/>
              </w:rPr>
              <w:t xml:space="preserve">Days*</w:t>
            </w:r>
          </w:p>
        </w:tc>
        <w:tc>
          <w:tcPr>
            <w:tcW w:type="dxa" w:w="1680"/>
            <w:tcBorders>
              <w:top w:val="single" w:color="D3DDE7" w:sz="1"/>
              <w:left w:val="single" w:color="D3DDE7" w:sz="1"/>
              <w:bottom w:val="single" w:color="D3DDE7" w:sz="1"/>
              <w:right w:val="single" w:color="D3DDE7" w:sz="1"/>
            </w:tcBorders>
            <w:shd w:fill="F6F9FC" w:val="clear"/>
            <w:tcMar>
              <w:top w:type="dxa" w:w="80"/>
              <w:left w:type="dxa" w:w="110"/>
              <w:bottom w:type="dxa" w:w="80"/>
              <w:right w:type="dxa" w:w="110"/>
            </w:tcMar>
            <w:vAlign w:val="center"/>
          </w:tcPr>
          <w:p>
            <w:pPr>
              <w:jc w:val="center"/>
            </w:pPr>
            <w:r>
              <w:rPr>
                <w:b w:val="false"/>
                <w:bCs w:val="false"/>
                <w:color w:val="5B6B7E"/>
                <w:sz w:val="19"/>
                <w:szCs w:val="19"/>
              </w:rPr>
              <w:t xml:space="preserve">Months–years</w:t>
            </w:r>
          </w:p>
        </w:tc>
      </w:tr>
    </w:tbl>
    <w:p>
      <w:pPr>
        <w:spacing w:after="40" w:before="80"/>
      </w:pPr>
      <w:r>
        <w:rPr>
          <w:i/>
          <w:iCs/>
          <w:color w:val="5B6B7E"/>
          <w:sz w:val="16"/>
          <w:szCs w:val="16"/>
        </w:rPr>
        <w:t xml:space="preserve">Examples by category: interpretation suites (Petra, GeoGraphix, Petrel); data subscriptions (Enverus, S&amp;P Global); in-house builds on PPDM or OSDU. *Subscription data is fast to access but rented, not owned.</w:t>
      </w:r>
    </w:p>
    <w:p>
      <w:r>
        <w:rPr>
          <w:i/>
          <w:iCs/>
          <w:color w:val="5B6B7E"/>
          <w:sz w:val="16"/>
          <w:szCs w:val="16"/>
        </w:rPr>
        <w:t xml:space="preserve">Comparison is by product category; specific vendors’ capabilities and terms vary. Contact us for a comparison tailored to the products you’re evaluating.</w:t>
      </w:r>
    </w:p>
    <w:p>
      <w:pPr>
        <w:spacing w:after="140"/>
      </w:pPr>
    </w:p>
    <w:p>
      <w:pPr>
        <w:pStyle w:val="Heading1"/>
      </w:pPr>
      <w:r>
        <w:t xml:space="preserve">Why Data Wrangler</w:t>
      </w:r>
    </w:p>
    <w:p>
      <w:pPr>
        <w:pStyle w:val="ListParagraph"/>
        <w:numPr>
          <w:ilvl w:val="0"/>
          <w:numId w:val="2"/>
        </w:numPr>
        <w:spacing w:after="70" w:line="274"/>
      </w:pPr>
      <w:r>
        <w:rPr>
          <w:b/>
          <w:bCs/>
          <w:color w:val="14507A"/>
        </w:rPr>
        <w:t xml:space="preserve">Ownership. </w:t>
      </w:r>
      <w:r>
        <w:t xml:space="preserve">You own your data and your platform — it runs on your server, not someone else’s cloud.</w:t>
      </w:r>
    </w:p>
    <w:p>
      <w:pPr>
        <w:pStyle w:val="ListParagraph"/>
        <w:numPr>
          <w:ilvl w:val="0"/>
          <w:numId w:val="2"/>
        </w:numPr>
        <w:spacing w:after="70" w:line="274"/>
      </w:pPr>
      <w:r>
        <w:rPr>
          <w:b/>
          <w:bCs/>
          <w:color w:val="14507A"/>
        </w:rPr>
        <w:t xml:space="preserve">All-in-one. </w:t>
      </w:r>
      <w:r>
        <w:t xml:space="preserve">Loader, governance, mapping and public data in one product, one license.</w:t>
      </w:r>
    </w:p>
    <w:p>
      <w:pPr>
        <w:pStyle w:val="ListParagraph"/>
        <w:numPr>
          <w:ilvl w:val="0"/>
          <w:numId w:val="2"/>
        </w:numPr>
        <w:spacing w:after="70" w:line="274"/>
      </w:pPr>
      <w:r>
        <w:rPr>
          <w:b/>
          <w:bCs/>
          <w:color w:val="14507A"/>
        </w:rPr>
        <w:t xml:space="preserve">Built to load. </w:t>
      </w:r>
      <w:r>
        <w:t xml:space="preserve">Fingerprinted loads and inline foreign-key resolution mean data lands clean and connected.</w:t>
      </w:r>
    </w:p>
    <w:p>
      <w:pPr>
        <w:pStyle w:val="ListParagraph"/>
        <w:numPr>
          <w:ilvl w:val="0"/>
          <w:numId w:val="2"/>
        </w:numPr>
        <w:spacing w:after="70" w:line="274"/>
      </w:pPr>
      <w:r>
        <w:rPr>
          <w:b/>
          <w:bCs/>
          <w:color w:val="14507A"/>
        </w:rPr>
        <w:t xml:space="preserve">Governed. </w:t>
      </w:r>
      <w:r>
        <w:t xml:space="preserve">The File Catalog governs the unstructured file layer no other platform manages.</w:t>
      </w:r>
    </w:p>
    <w:p>
      <w:pPr>
        <w:pStyle w:val="ListParagraph"/>
        <w:numPr>
          <w:ilvl w:val="0"/>
          <w:numId w:val="2"/>
        </w:numPr>
        <w:spacing w:after="70" w:line="274"/>
      </w:pPr>
      <w:r>
        <w:rPr>
          <w:b/>
          <w:bCs/>
          <w:color w:val="14507A"/>
        </w:rPr>
        <w:t xml:space="preserve">Data included. </w:t>
      </w:r>
      <w:r>
        <w:t xml:space="preserve">Over 2.5 million public wells across every US producing state,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2F6FA" w:val="clear"/>
            <w:tcMar>
              <w:top w:type="dxa" w:w="220"/>
              <w:left w:type="dxa" w:w="320"/>
              <w:bottom w:type="dxa" w:w="220"/>
              <w:right w:type="dxa" w:w="320"/>
            </w:tcMar>
          </w:tcPr>
          <w:p>
            <w:pPr>
              <w:spacing w:after="60"/>
            </w:pPr>
            <w:r>
              <w:rPr>
                <w:b/>
                <w:bCs/>
                <w:color w:val="0B2A4A"/>
                <w:sz w:val="28"/>
                <w:szCs w:val="28"/>
              </w:rPr>
              <w:t xml:space="preserve">Bring your data home.</w:t>
            </w:r>
          </w:p>
          <w:p>
            <w:r>
              <w:rPr>
                <w:color w:val="33414F"/>
                <w:sz w:val="22"/>
                <w:szCs w:val="22"/>
              </w:rPr>
              <w:t xml:space="preserve">Built by Data Wrangler Solutions LLC. Contact us for a demonstration on your own data and a tailored comparison with the tools you use today.</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DE7" w:sz="4" w:space="6"/>
      </w:pBdr>
      <w:tabs>
        <w:tab w:val="right" w:pos="9026"/>
      </w:tabs>
    </w:pPr>
    <w:r>
      <w:rPr>
        <w:color w:val="5B6B7E"/>
        <w:sz w:val="16"/>
        <w:szCs w:val="16"/>
      </w:rPr>
      <w:t xml:space="preserve">Data Wrangler · Data Management Platform</w:t>
    </w:r>
    <w:r>
      <w:rPr>
        <w:sz w:val="16"/>
        <w:szCs w:val="16"/>
      </w:rPr>
      <w:t xml:space="preserve">	</w:t>
    </w:r>
    <w:r>
      <w:rPr>
        <w:color w:val="5B6B7E"/>
        <w:sz w:val="16"/>
        <w:szCs w:val="16"/>
      </w:rPr>
      <w:t xml:space="preserve">Data Wrangler Solutions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320"/>
      <w:outlineLvl w:val="0"/>
    </w:pPr>
    <w:rPr>
      <w:rFonts w:ascii="Arial" w:cs="Arial" w:eastAsia="Arial" w:hAnsi="Arial"/>
      <w:b/>
      <w:bCs/>
      <w:color w:val="0B2A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9d1bd8bd531a27391979bd4482f1c564bf771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Wrangler Platform</dc:title>
  <dc:creator>Data Wrangler Solutions LLC</dc:creator>
  <cp:lastModifiedBy>Un-named</cp:lastModifiedBy>
  <cp:revision>1</cp:revision>
  <dcterms:created xsi:type="dcterms:W3CDTF">2026-06-19T00:49:17.866Z</dcterms:created>
  <dcterms:modified xsi:type="dcterms:W3CDTF">2026-06-19T00:49:17.866Z</dcterms:modified>
</cp:coreProperties>
</file>

<file path=docProps/custom.xml><?xml version="1.0" encoding="utf-8"?>
<Properties xmlns="http://schemas.openxmlformats.org/officeDocument/2006/custom-properties" xmlns:vt="http://schemas.openxmlformats.org/officeDocument/2006/docPropsVTypes"/>
</file>