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ocument-assistant-shape-recognition"/>
    <w:p>
      <w:pPr>
        <w:pStyle w:val="Heading1"/>
      </w:pPr>
      <w:r>
        <w:t xml:space="preserve">Document Assistant — shape recognition</w:t>
      </w:r>
    </w:p>
    <w:p>
      <w:pPr>
        <w:pStyle w:val="FirstParagraph"/>
      </w:pPr>
      <w:r>
        <w:rPr>
          <w:iCs/>
          <w:i/>
        </w:rPr>
        <w:t xml:space="preserve">Component documentation · Data Wrangler v4</w:t>
      </w:r>
      <w:r>
        <w:t xml:space="preserve"> </w:t>
      </w:r>
      <w:r>
        <w:rPr>
          <w:iCs/>
          <w:i/>
        </w:rPr>
        <w:t xml:space="preserve">Written 8 August 2026 against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docshape</w:t>
      </w:r>
      <w:r>
        <w:rPr>
          <w:iCs/>
          <w:i/>
        </w:rPr>
        <w:t xml:space="preserve"> </w:t>
      </w:r>
      <w:r>
        <w:rPr>
          <w:iCs/>
          <w:i/>
        </w:rPr>
        <w:t xml:space="preserve">package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doc_flow.py</w:t>
      </w:r>
      <w:r>
        <w:rPr>
          <w:iCs/>
          <w:i/>
        </w:rPr>
        <w:t xml:space="preserve">. Every rule in section 9 was learned from a document that read wrongly.</w:t>
      </w:r>
    </w:p>
    <w:p>
      <w:r>
        <w:pict>
          <v:rect style="width:0;height:1.5pt" o:hralign="center" o:hrstd="t" o:hr="t"/>
        </w:pict>
      </w:r>
    </w:p>
    <w:bookmarkStart w:id="20" w:name="the-idea"/>
    <w:p>
      <w:pPr>
        <w:pStyle w:val="Heading2"/>
      </w:pPr>
      <w:r>
        <w:t xml:space="preserve">1 · The idea</w:t>
      </w:r>
    </w:p>
    <w:p>
      <w:pPr>
        <w:pStyle w:val="FirstParagraph"/>
      </w:pPr>
      <w:r>
        <w:t xml:space="preserve">A scout ticket, a casing record and an end-of-well report look nothing alike. But the</w:t>
      </w:r>
      <w:r>
        <w:t xml:space="preserve"> </w:t>
      </w:r>
      <w:r>
        <w:rPr>
          <w:iCs/>
          <w:i/>
        </w:rPr>
        <w:t xml:space="preserve">casing table</w:t>
      </w:r>
      <w:r>
        <w:t xml:space="preserve"> </w:t>
      </w:r>
      <w:r>
        <w:t xml:space="preserve">inside each of them looks like every other casing table: a string type, a size, a set depth, a top of cement. The table has a shape, and the shape is stable even when the document isn’t.</w:t>
      </w:r>
    </w:p>
    <w:p>
      <w:pPr>
        <w:pStyle w:val="BodyText"/>
      </w:pPr>
      <w:r>
        <w:t xml:space="preserve">That is the whole idea.</w:t>
      </w:r>
      <w:r>
        <w:t xml:space="preserve"> </w:t>
      </w:r>
      <w:r>
        <w:rPr>
          <w:bCs/>
          <w:b/>
        </w:rPr>
        <w:t xml:space="preserve">Identify the table, not the document.</w:t>
      </w:r>
    </w:p>
    <w:p>
      <w:pPr>
        <w:pStyle w:val="BodyText"/>
      </w:pPr>
      <w:r>
        <w:t xml:space="preserve">Everything else follows from it. If you identify tables rather than documents, you don’t need to recognise a vendor’s report format before you can read what’s in it. A layout nobody has seen still yields its casing table. And a new vendor costs a wording, not a parser.</w:t>
      </w:r>
    </w:p>
    <w:p>
      <w:r>
        <w:pict>
          <v:rect style="width:0;height:1.5pt" o:hralign="center" o:hrstd="t" o:hr="t"/>
        </w:pict>
      </w:r>
    </w:p>
    <w:bookmarkEnd w:id="20"/>
    <w:bookmarkStart w:id="21" w:name="X5bb4b9640fc6eafd7311cd4022b7ca04c8ce2a8"/>
    <w:p>
      <w:pPr>
        <w:pStyle w:val="Heading2"/>
      </w:pPr>
      <w:r>
        <w:t xml:space="preserve">2 · How it worked before, and why that stalled</w:t>
      </w:r>
    </w:p>
    <w:p>
      <w:pPr>
        <w:pStyle w:val="FirstParagraph"/>
      </w:pPr>
      <w:r>
        <w:t xml:space="preserve">This is worth setting out, because the previous approach is the obvious one and it fails in a way that’s hard to see.</w:t>
      </w:r>
    </w:p>
    <w:p>
      <w:pPr>
        <w:pStyle w:val="BodyText"/>
      </w:pPr>
      <w:r>
        <w:rPr>
          <w:bCs/>
          <w:b/>
        </w:rPr>
        <w:t xml:space="preserve">Extraction used to be type-first.</w:t>
      </w:r>
      <w:r>
        <w:t xml:space="preserve"> </w:t>
      </w:r>
      <w:r>
        <w:t xml:space="preserve">A PDF arrived, a classifier read its banner text and keyword-matched it into one of a handful of document types. Each type had a reader written for it: a scout-ticket reader that knew where a scout ticket puts its header, an end-of-well reader, a survey reader. Office files were routed by</w:t>
      </w:r>
      <w:r>
        <w:t xml:space="preserve"> </w:t>
      </w:r>
      <w:r>
        <w:rPr>
          <w:bCs/>
          <w:b/>
        </w:rPr>
        <w:t xml:space="preserve">filename keywords</w:t>
      </w:r>
      <w:r>
        <w:t xml:space="preserve"> </w:t>
      </w:r>
      <w:r>
        <w:t xml:space="preserve">— a name containing</w:t>
      </w:r>
      <w:r>
        <w:t xml:space="preserve"> </w:t>
      </w:r>
      <w:r>
        <w:t xml:space="preserve">“</w:t>
      </w:r>
      <w:r>
        <w:t xml:space="preserve">tops</w:t>
      </w:r>
      <w:r>
        <w:t xml:space="preserve">”</w:t>
      </w:r>
      <w:r>
        <w:t xml:space="preserve"> </w:t>
      </w:r>
      <w:r>
        <w:t xml:space="preserve">went to the formation-tops loader,</w:t>
      </w:r>
      <w:r>
        <w:t xml:space="preserve"> </w:t>
      </w:r>
      <w:r>
        <w:t xml:space="preserve">“</w:t>
      </w:r>
      <w:r>
        <w:t xml:space="preserve">complet</w:t>
      </w:r>
      <w:r>
        <w:t xml:space="preserve">”</w:t>
      </w:r>
      <w:r>
        <w:t xml:space="preserve"> </w:t>
      </w:r>
      <w:r>
        <w:t xml:space="preserve">to the completion loader. LAS and SEG-Y had their own parsers, and the whole per-format dispatch existed in two hand-synchronised copies, one for the interactive path and one for the worker pool.</w:t>
      </w:r>
    </w:p>
    <w:p>
      <w:pPr>
        <w:pStyle w:val="BodyText"/>
      </w:pPr>
      <w:r>
        <w:t xml:space="preserve">It worked, for the documents it had been written for. The problems were structural:</w:t>
      </w:r>
    </w:p>
    <w:p>
      <w:pPr>
        <w:pStyle w:val="BodyText"/>
      </w:pPr>
      <w:r>
        <w:rPr>
          <w:bCs/>
          <w:b/>
        </w:rPr>
        <w:t xml:space="preserve">A document had to be recognised before anything inside it could be read.</w:t>
      </w:r>
      <w:r>
        <w:t xml:space="preserve"> </w:t>
      </w:r>
      <w:r>
        <w:t xml:space="preserve">Unclassified meant nothing extracted — not a partial result, nothing. A Final Well Report matched no filename keyword and returned</w:t>
      </w:r>
      <w:r>
        <w:t xml:space="preserve"> </w:t>
      </w:r>
      <w:r>
        <w:t xml:space="preserve">“</w:t>
      </w:r>
      <w:r>
        <w:t xml:space="preserve">no loader found.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failure was silent and looked like success.</w:t>
      </w:r>
      <w:r>
        <w:t xml:space="preserve"> </w:t>
      </w:r>
      <w:r>
        <w:t xml:space="preserve">The old path would resolve a well</w:t>
      </w:r>
      <w:r>
        <w:t xml:space="preserve"> </w:t>
      </w:r>
      <w:r>
        <w:rPr>
          <w:iCs/>
          <w:i/>
        </w:rPr>
        <w:t xml:space="preserve">header</w:t>
      </w:r>
      <w:r>
        <w:t xml:space="preserve">, write a row, and then have nothing whatever to say about the tables inside the document. The run reported files processed and rows written. Scout tickets, casing records and end-of-well reports produced</w:t>
      </w:r>
      <w:r>
        <w:t xml:space="preserve"> </w:t>
      </w:r>
      <w:r>
        <w:rPr>
          <w:bCs/>
          <w:b/>
        </w:rPr>
        <w:t xml:space="preserve">no detail rows at all</w:t>
      </w:r>
      <w:r>
        <w:t xml:space="preserve">, for weeks, without an error anywhere.</w:t>
      </w:r>
    </w:p>
    <w:p>
      <w:pPr>
        <w:pStyle w:val="BodyText"/>
      </w:pPr>
      <w:r>
        <w:rPr>
          <w:bCs/>
          <w:b/>
        </w:rPr>
        <w:t xml:space="preserve">A new vendor layout meant new code.</w:t>
      </w:r>
      <w:r>
        <w:t xml:space="preserve"> </w:t>
      </w:r>
      <w:r>
        <w:t xml:space="preserve">Not a configuration change — a Python change, tested and deployed, per layout.</w:t>
      </w:r>
    </w:p>
    <w:p>
      <w:pPr>
        <w:pStyle w:val="BodyText"/>
      </w:pPr>
      <w:r>
        <w:rPr>
          <w:bCs/>
          <w:b/>
        </w:rPr>
        <w:t xml:space="preserve">And it was expensive.</w:t>
      </w:r>
      <w:r>
        <w:t xml:space="preserve"> </w:t>
      </w:r>
      <w:r>
        <w:t xml:space="preserve">The classifier opened the file, the extended classifier opened it again, the extractor a third time, and the Office path re-parsed inside the loader. One run measured 526 seconds, of which extract and capture were 90%.</w:t>
      </w:r>
    </w:p>
    <w:p>
      <w:pPr>
        <w:pStyle w:val="BodyText"/>
      </w:pPr>
      <w:r>
        <w:t xml:space="preserve">The scale of what was being missed only became measurable when the recogniser was switched on over the same corpus: capture went from</w:t>
      </w:r>
      <w:r>
        <w:t xml:space="preserve"> </w:t>
      </w:r>
      <w:r>
        <w:rPr>
          <w:bCs/>
          <w:b/>
        </w:rPr>
        <w:t xml:space="preserve">3 files to 8, and from a few hundred rows to 10,006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inversion.</w:t>
      </w:r>
      <w:r>
        <w:t xml:space="preserve"> </w:t>
      </w:r>
      <w:r>
        <w:t xml:space="preserve">Instead of</w:t>
      </w:r>
      <w:r>
        <w:t xml:space="preserve"> </w:t>
      </w:r>
      <w:r>
        <w:rPr>
          <w:iCs/>
          <w:i/>
        </w:rPr>
        <w:t xml:space="preserve">what document is this, and which reader handles it</w:t>
      </w:r>
      <w:r>
        <w:t xml:space="preserve">, the question became</w:t>
      </w:r>
      <w:r>
        <w:t xml:space="preserve"> </w:t>
      </w:r>
      <w:r>
        <w:rPr>
          <w:iCs/>
          <w:i/>
        </w:rPr>
        <w:t xml:space="preserve">what tables are in this file, and what is each one</w:t>
      </w:r>
      <w:r>
        <w:t xml:space="preserve">. The reader’s job shrinks to producing tables from a format. Identification becomes a matching problem over the table’s own header — and a matching problem can be solved with a vocabulary, which is data, rather than a parser, which is code.</w:t>
      </w:r>
    </w:p>
    <w:p>
      <w:r>
        <w:pict>
          <v:rect style="width:0;height:1.5pt" o:hralign="center" o:hrstd="t" o:hr="t"/>
        </w:pict>
      </w:r>
    </w:p>
    <w:bookmarkEnd w:id="21"/>
    <w:bookmarkStart w:id="22" w:name="what-a-shape-is"/>
    <w:p>
      <w:pPr>
        <w:pStyle w:val="Heading2"/>
      </w:pPr>
      <w:r>
        <w:t xml:space="preserve">3 · What a shape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is a claim:</w:t>
      </w:r>
      <w:r>
        <w:t xml:space="preserve"> </w:t>
      </w:r>
      <w:r>
        <w:rPr>
          <w:iCs/>
          <w:i/>
        </w:rPr>
        <w:t xml:space="preserve">a table with these fields in its header is a table of this kind.</w:t>
      </w:r>
    </w:p>
    <w:p>
      <w:pPr>
        <w:pStyle w:val="SourceCode"/>
      </w:pPr>
      <w:r>
        <w:rPr>
          <w:rStyle w:val="VerbatimChar"/>
        </w:rPr>
        <w:t xml:space="preserve">frac_stage</w:t>
      </w:r>
      <w:r>
        <w:br/>
      </w:r>
      <w:r>
        <w:rPr>
          <w:rStyle w:val="VerbatimChar"/>
        </w:rPr>
        <w:t xml:space="preserve">  required : stage, top_md</w:t>
      </w:r>
      <w:r>
        <w:br/>
      </w:r>
      <w:r>
        <w:rPr>
          <w:rStyle w:val="VerbatimChar"/>
        </w:rPr>
        <w:t xml:space="preserve">  optional : base_md, clusters, fluid_vol, proppant, pressure, rate, date, …</w:t>
      </w:r>
      <w:r>
        <w:br/>
      </w:r>
      <w:r>
        <w:rPr>
          <w:rStyle w:val="VerbatimChar"/>
        </w:rPr>
        <w:t xml:space="preserve">  target   : cat_well_stimulation</w:t>
      </w:r>
    </w:p>
    <w:p>
      <w:pPr>
        <w:pStyle w:val="FirstParagraph"/>
      </w:pPr>
      <w:r>
        <w:rPr>
          <w:bCs/>
          <w:b/>
        </w:rPr>
        <w:t xml:space="preserve">Required fields must discriminate, not merely be present.</w:t>
      </w:r>
      <w:r>
        <w:t xml:space="preserve"> </w:t>
      </w:r>
      <w:r>
        <w:t xml:space="preserve">This is the single most important rule in the pack, and it took a real failure to learn:</w:t>
      </w:r>
      <w:r>
        <w:t xml:space="preserve"> </w:t>
      </w:r>
      <w:r>
        <w:rPr>
          <w:rStyle w:val="VerbatimChar"/>
        </w:rPr>
        <w:t xml:space="preserve">formation_tops</w:t>
      </w:r>
      <w:r>
        <w:t xml:space="preserve"> </w:t>
      </w:r>
      <w:r>
        <w:t xml:space="preserve">requires only formation and top depth, which almost any depth-indexed table satisfies — so it claimed core runs, petrophysics and perforations. A new shape built on commonly-required fields loses to the general shape every time.</w:t>
      </w:r>
    </w:p>
    <w:p>
      <w:pPr>
        <w:pStyle w:val="BodyText"/>
      </w:pPr>
      <w:r>
        <w:t xml:space="preserve">The tie-break is</w:t>
      </w:r>
      <w:r>
        <w:t xml:space="preserve"> </w:t>
      </w:r>
      <w:r>
        <w:rPr>
          <w:rStyle w:val="VerbatimChar"/>
        </w:rPr>
        <w:t xml:space="preserve">(score, optional-hits)</w:t>
      </w:r>
      <w:r>
        <w:t xml:space="preserve">: at equal score, the shape that also explains more of the table wins. So a specific shape beats a greedy general one by</w:t>
      </w:r>
      <w:r>
        <w:t xml:space="preserve"> </w:t>
      </w:r>
      <w:r>
        <w:rPr>
          <w:iCs/>
          <w:i/>
        </w:rPr>
        <w:t xml:space="preserve">covering more</w:t>
      </w:r>
      <w:r>
        <w:t xml:space="preserve">, which is the right reason.</w:t>
      </w:r>
    </w:p>
    <w:p>
      <w:pPr>
        <w:pStyle w:val="BodyText"/>
      </w:pPr>
      <w:r>
        <w:t xml:space="preserve">The pack currently holds roughly 90 fields and 19 shapes, 14 of which name a target table.</w:t>
      </w:r>
    </w:p>
    <w:p>
      <w:r>
        <w:pict>
          <v:rect style="width:0;height:1.5pt" o:hralign="center" o:hrstd="t" o:hr="t"/>
        </w:pict>
      </w:r>
    </w:p>
    <w:bookmarkEnd w:id="22"/>
    <w:bookmarkStart w:id="23" w:name="how-matching-works"/>
    <w:p>
      <w:pPr>
        <w:pStyle w:val="Heading2"/>
      </w:pPr>
      <w:r>
        <w:t xml:space="preserve">4 · How matching works</w:t>
      </w:r>
    </w:p>
    <w:p>
      <w:pPr>
        <w:pStyle w:val="FirstParagraph"/>
      </w:pPr>
      <w:r>
        <w:t xml:space="preserve">A header cell is tokenised — punctuation stripped, characters mapped, noise words removed — and matched against each field’s aliases as a</w:t>
      </w:r>
      <w:r>
        <w:t xml:space="preserve"> </w:t>
      </w:r>
      <w:r>
        <w:rPr>
          <w:bCs/>
          <w:b/>
        </w:rPr>
        <w:t xml:space="preserve">set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Aliases are phrases and order is ignored.</w:t>
      </w:r>
      <w:r>
        <w:t xml:space="preserve"> </w:t>
      </w:r>
      <w:r>
        <w:t xml:space="preserve">“</w:t>
      </w:r>
      <w:r>
        <w:t xml:space="preserve">Top of Cement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Cement Top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Cement, Top of</w:t>
      </w:r>
      <w:r>
        <w:t xml:space="preserve">”</w:t>
      </w:r>
      <w:r>
        <w:t xml:space="preserve"> </w:t>
      </w:r>
      <w:r>
        <w:t xml:space="preserve">all match the same field. Interleaving is tolerated:</w:t>
      </w:r>
      <w:r>
        <w:t xml:space="preserve"> </w:t>
      </w:r>
      <w:r>
        <w:t xml:space="preserve">“</w:t>
      </w:r>
      <w:r>
        <w:t xml:space="preserve">Top of the Cement Column (ft)</w:t>
      </w:r>
      <w:r>
        <w:t xml:space="preserve">”</w:t>
      </w:r>
      <w:r>
        <w:t xml:space="preserve"> </w:t>
      </w:r>
      <w:r>
        <w:t xml:space="preserve">still matches.</w:t>
      </w:r>
    </w:p>
    <w:p>
      <w:pPr>
        <w:pStyle w:val="BodyText"/>
      </w:pPr>
      <w:r>
        <w:rPr>
          <w:bCs/>
          <w:b/>
        </w:rPr>
        <w:t xml:space="preserve">Longest alias wins</w:t>
      </w:r>
      <w:r>
        <w:t xml:space="preserve">, so a two-token alias beats a one-token one.</w:t>
      </w:r>
    </w:p>
    <w:p>
      <w:pPr>
        <w:pStyle w:val="BodyText"/>
      </w:pPr>
      <w:r>
        <w:rPr>
          <w:bCs/>
          <w:b/>
        </w:rPr>
        <w:t xml:space="preserve">Contiguity breaks a tie.</w:t>
      </w:r>
      <w:r>
        <w:t xml:space="preserve"> </w:t>
      </w:r>
      <w:r>
        <w:t xml:space="preserve">When two aliases match with the same token count, the one appearing as an unbroken run in the header wins. That rule exists because</w:t>
      </w:r>
      <w:r>
        <w:t xml:space="preserve"> </w:t>
      </w:r>
      <w:r>
        <w:t xml:space="preserve">“</w:t>
      </w:r>
      <w:r>
        <w:t xml:space="preserve">Top of Cement</w:t>
      </w:r>
      <w:r>
        <w:t xml:space="preserve">”</w:t>
      </w:r>
      <w:r>
        <w:t xml:space="preserve"> </w:t>
      </w:r>
      <w:r>
        <w:t xml:space="preserve">was resolving to</w:t>
      </w:r>
      <w:r>
        <w:t xml:space="preserve"> </w:t>
      </w:r>
      <w:r>
        <w:rPr>
          <w:iCs/>
          <w:i/>
        </w:rPr>
        <w:t xml:space="preserve">measured depth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top of cement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top md</w:t>
      </w:r>
      <w:r>
        <w:t xml:space="preserve">”</w:t>
      </w:r>
      <w:r>
        <w:t xml:space="preserve"> </w:t>
      </w:r>
      <w:r>
        <w:t xml:space="preserve">are both two tokens after noise removal, and dictionary order was deciding. A cement top would have been written silently into the casing string’s own depth column.</w:t>
      </w:r>
    </w:p>
    <w:p>
      <w:pPr>
        <w:pStyle w:val="BodyText"/>
      </w:pPr>
      <w:r>
        <w:rPr>
          <w:bCs/>
          <w:b/>
        </w:rPr>
        <w:t xml:space="preserve">Values, not just headers, when the table is rotated.</w:t>
      </w:r>
      <w:r>
        <w:t xml:space="preserve"> </w:t>
      </w:r>
      <w:r>
        <w:t xml:space="preserve">Many documents write a header as label/value pairs down the page rather than columns across it. Those are detected structurally by the reader and pivoted, and the labels are resolved with the pack’s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alias matching — one vocabulary used both ways, so a wording added for a column header works for the rotated form free.</w:t>
      </w:r>
    </w:p>
    <w:p>
      <w:pPr>
        <w:pStyle w:val="BodyText"/>
      </w:pPr>
      <w:r>
        <w:rPr>
          <w:bCs/>
          <w:b/>
        </w:rPr>
        <w:t xml:space="preserve">And what it cannot do:</w:t>
      </w:r>
      <w:r>
        <w:t xml:space="preserve"> </w:t>
      </w:r>
      <w:r>
        <w:t xml:space="preserve">one cell holding two attributes.</w:t>
      </w:r>
      <w:r>
        <w:t xml:space="preserve"> </w:t>
      </w:r>
      <w:r>
        <w:t xml:space="preserve">“</w:t>
      </w:r>
      <w:r>
        <w:t xml:space="preserve">Top / Base MD (ft)</w:t>
      </w:r>
      <w:r>
        <w:t xml:space="preserve">”</w:t>
      </w:r>
      <w:r>
        <w:t xml:space="preserve"> </w:t>
      </w:r>
      <w:r>
        <w:t xml:space="preserve">picks one. That’s a cell-splitting problem, not a matching one, and nothing does it today.</w:t>
      </w:r>
    </w:p>
    <w:p>
      <w:r>
        <w:pict>
          <v:rect style="width:0;height:1.5pt" o:hralign="center" o:hrstd="t" o:hr="t"/>
        </w:pict>
      </w:r>
    </w:p>
    <w:bookmarkEnd w:id="23"/>
    <w:bookmarkStart w:id="24" w:name="Xb53d6962df863d5d693d9ddf0330c8beed035a2"/>
    <w:p>
      <w:pPr>
        <w:pStyle w:val="Heading2"/>
      </w:pPr>
      <w:r>
        <w:t xml:space="preserve">5 · Four layers, and what each is allowed to know</w:t>
      </w:r>
    </w:p>
    <w:p>
      <w:pPr>
        <w:pStyle w:val="FirstParagraph"/>
      </w:pPr>
      <w:r>
        <w:rPr>
          <w:rStyle w:val="VerbatimChar"/>
        </w:rPr>
        <w:t xml:space="preserve">docshape</w:t>
      </w:r>
      <w:r>
        <w:t xml:space="preserve"> </w:t>
      </w:r>
      <w:r>
        <w:t xml:space="preserve">is a separate top-level package with</w:t>
      </w:r>
      <w:r>
        <w:t xml:space="preserve"> </w:t>
      </w:r>
      <w:r>
        <w:rPr>
          <w:bCs/>
          <w:b/>
        </w:rPr>
        <w:t xml:space="preserve">no imports from the rest of the platform</w:t>
      </w:r>
      <w:r>
        <w:t xml:space="preserve">. The dependency only runs one way, so it can become its own repository by moving the folder. Perry’s reason: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 is the most unique part of the system and could be deployed for many different groups.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knows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tokenising, subset matching, scoring, tie-breaks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domain — it never says</w:t>
            </w:r>
            <w:r>
              <w:t xml:space="preserve"> </w:t>
            </w:r>
            <w:r>
              <w:t xml:space="preserve">“</w:t>
            </w:r>
            <w:r>
              <w:t xml:space="preserve">uwi</w:t>
            </w:r>
            <w:r>
              <w:t xml:space="preserve">”</w:t>
            </w:r>
            <w:r>
              <w:t xml:space="preserve">, it asks the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fields, shapes, aliases, noise, targets, transforms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formats,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DOCX, XLSX, HTML, LAS, SEG-Y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curve or a well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types, quoting, inserts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status, provenance,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provenance, review state,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any one database spells a float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abstraction is proven, not asserted.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legal</w:t>
      </w:r>
      <w:r>
        <w:t xml:space="preserve"> </w:t>
      </w:r>
      <w:r>
        <w:t xml:space="preserve">pack — 26 fields, 6 shapes: payment schedules, parties, obligations, clause indexes — recognises legal tables at full confidence including a vendor variant, and correctly</w:t>
      </w:r>
      <w:r>
        <w:t xml:space="preserve"> </w:t>
      </w:r>
      <w:r>
        <w:rPr>
          <w:bCs/>
          <w:b/>
        </w:rPr>
        <w:t xml:space="preserve">refuses</w:t>
      </w:r>
      <w:r>
        <w:t xml:space="preserve"> </w:t>
      </w:r>
      <w:r>
        <w:t xml:space="preserve">frac stages and directional surveys. Zero engine changes. The same store generates the legal tables with the identical provenance and review block.</w:t>
      </w:r>
    </w:p>
    <w:p>
      <w:pPr>
        <w:pStyle w:val="BodyText"/>
      </w:pPr>
      <w:r>
        <w:t xml:space="preserve">Two decisions inside that split are worth stating:</w:t>
      </w:r>
    </w:p>
    <w:p>
      <w:pPr>
        <w:pStyle w:val="BodyText"/>
      </w:pPr>
      <w:r>
        <w:rPr>
          <w:bCs/>
          <w:b/>
        </w:rPr>
        <w:t xml:space="preserve">Review lives in the store, not the backends.</w:t>
      </w:r>
      <w:r>
        <w:t xml:space="preserve"> </w:t>
      </w:r>
      <w:r>
        <w:t xml:space="preserve">A backend that knew about review status would need updating on every platform each time the review model changed.</w:t>
      </w:r>
    </w:p>
    <w:p>
      <w:pPr>
        <w:pStyle w:val="BodyText"/>
      </w:pPr>
      <w:r>
        <w:rPr>
          <w:bCs/>
          <w:b/>
        </w:rPr>
        <w:t xml:space="preserve">Documents are keyed by content hash, not path.</w:t>
      </w:r>
      <w:r>
        <w:t xml:space="preserve"> </w:t>
      </w:r>
      <w:r>
        <w:t xml:space="preserve">The same file captured from two folders is one document, and re-capture replaces rather than duplicates — which fixes by construction the class of failure where two copies of one sample set looked like two different sets.</w:t>
      </w:r>
    </w:p>
    <w:p>
      <w:r>
        <w:pict>
          <v:rect style="width:0;height:1.5pt" o:hralign="center" o:hrstd="t" o:hr="t"/>
        </w:pict>
      </w:r>
    </w:p>
    <w:bookmarkEnd w:id="24"/>
    <w:bookmarkStart w:id="27" w:name="the-vocabulary-loop"/>
    <w:p>
      <w:pPr>
        <w:pStyle w:val="Heading2"/>
      </w:pPr>
      <w:r>
        <w:t xml:space="preserve">6 · The vocabulary loop</w:t>
      </w:r>
    </w:p>
    <w:p>
      <w:pPr>
        <w:pStyle w:val="FirstParagraph"/>
      </w:pPr>
      <w:r>
        <w:t xml:space="preserve">The vocabulary is data, so it can be corrected without a deployment. It lives in three layers, applied left to right:</w:t>
      </w:r>
    </w:p>
    <w:p>
      <w:pPr>
        <w:pStyle w:val="BodyText"/>
      </w:pPr>
      <w:r>
        <w:rPr>
          <w:bCs/>
          <w:b/>
        </w:rPr>
        <w:t xml:space="preserve">Base pack</w:t>
      </w:r>
      <w:r>
        <w:t xml:space="preserve"> </w:t>
      </w:r>
      <w:r>
        <w:t xml:space="preserve">→ considered, version-controlled, ships to every deployment.</w:t>
      </w:r>
      <w:r>
        <w:t xml:space="preserve"> </w:t>
      </w:r>
      <w:r>
        <w:rPr>
          <w:bCs/>
          <w:b/>
        </w:rPr>
        <w:t xml:space="preserve">Overlay</w:t>
      </w:r>
      <w:r>
        <w:t xml:space="preserve"> </w:t>
      </w:r>
      <w:r>
        <w:t xml:space="preserve">→ a JSON file beside it; learned, local, promotable.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→ experiments, on top of the overlay.</w:t>
      </w:r>
    </w:p>
    <w:p>
      <w:pPr>
        <w:pStyle w:val="BodyText"/>
      </w:pPr>
      <w:r>
        <w:t xml:space="preserve">The merge rules are deliberate and asymmetric.</w:t>
      </w:r>
      <w:r>
        <w:t xml:space="preserve"> </w:t>
      </w:r>
      <w:r>
        <w:rPr>
          <w:bCs/>
          <w:b/>
        </w:rPr>
        <w:t xml:space="preserve">Aliases extend</w:t>
      </w:r>
      <w:r>
        <w:t xml:space="preserve"> </w:t>
      </w:r>
      <w:r>
        <w:t xml:space="preserve">— a correction adds a wording, never discards ones that worked.</w:t>
      </w:r>
      <w:r>
        <w:t xml:space="preserve"> </w:t>
      </w:r>
      <w:r>
        <w:rPr>
          <w:bCs/>
          <w:b/>
        </w:rPr>
        <w:t xml:space="preserve">Shapes replace wholesale</w:t>
      </w:r>
      <w:r>
        <w:t xml:space="preserve"> </w:t>
      </w:r>
      <w:r>
        <w:t xml:space="preserve">— a shape is one coherent claim, and half-overriding produces a definition nobody wrote. A shape can be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reversibly rather than deleted.</w:t>
      </w:r>
    </w:p>
    <w:p>
      <w:pPr>
        <w:pStyle w:val="BodyText"/>
      </w:pPr>
      <w:r>
        <w:t xml:space="preserve">That asymmetry has a sharp edge, and it bit: after overlay entries were folded into the base pack, the overlay copies stayed — and because a shape replaces, the stale copies were</w:t>
      </w:r>
      <w:r>
        <w:t xml:space="preserve"> </w:t>
      </w:r>
      <w:r>
        <w:rPr>
          <w:bCs/>
          <w:b/>
        </w:rPr>
        <w:t xml:space="preserve">actively subtracting fields</w:t>
      </w:r>
      <w:r>
        <w:t xml:space="preserve"> </w:t>
      </w:r>
      <w:r>
        <w:t xml:space="preserve">from the improved base versions. Six shapes silently lost fields, which surfaced as columns going unmapped for no visible reason.</w:t>
      </w:r>
      <w:r>
        <w:t xml:space="preserve"> </w:t>
      </w:r>
      <w:r>
        <w:rPr>
          <w:bCs/>
          <w:b/>
        </w:rPr>
        <w:t xml:space="preserve">After folding an overlay into the pack, the overlay copies must be removed.</w:t>
      </w:r>
    </w:p>
    <w:p>
      <w:pPr>
        <w:pStyle w:val="BodyText"/>
      </w:pPr>
      <w:r>
        <w:rPr>
          <w:bCs/>
          <w:b/>
        </w:rPr>
        <w:t xml:space="preserve">The sandbox sits on top of the overlay, not instead of it</w:t>
      </w:r>
      <w:r>
        <w:t xml:space="preserve"> </w:t>
      </w:r>
      <w:r>
        <w:t xml:space="preserve">— an experiment has to be judged against the established vocabulary, since testing a new wording against a stale one proves nothing.</w:t>
      </w:r>
    </w:p>
    <w:bookmarkStart w:id="25" w:name="three-ways-to-correct-something"/>
    <w:p>
      <w:pPr>
        <w:pStyle w:val="Heading3"/>
      </w:pPr>
      <w:r>
        <w:t xml:space="preserve">Three ways to correct something</w:t>
      </w:r>
    </w:p>
    <w:p>
      <w:pPr>
        <w:pStyle w:val="FirstParagraph"/>
      </w:pPr>
      <w:r>
        <w:rPr>
          <w:bCs/>
          <w:b/>
        </w:rPr>
        <w:t xml:space="preserve">Point at it.</w:t>
      </w:r>
      <w:r>
        <w:t xml:space="preserve"> </w:t>
      </w:r>
      <w:r>
        <w:t xml:space="preserve">Every unmapped column gets a dropdown of fields; choosing one records an</w:t>
      </w:r>
      <w:r>
        <w:t xml:space="preserve"> </w:t>
      </w:r>
      <w:r>
        <w:rPr>
          <w:iCs/>
          <w:i/>
        </w:rPr>
        <w:t xml:space="preserve">alias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header wording means this field</w:t>
      </w:r>
      <w:r>
        <w:t xml:space="preserve">”</w:t>
      </w:r>
      <w:r>
        <w:t xml:space="preserve"> </w:t>
      </w:r>
      <w:r>
        <w:t xml:space="preserve">— not a per-document fix. The next document from that vendor is right before anyone looks at it.</w:t>
      </w:r>
    </w:p>
    <w:p>
      <w:pPr>
        <w:pStyle w:val="BodyText"/>
      </w:pPr>
      <w:r>
        <w:rPr>
          <w:bCs/>
          <w:b/>
        </w:rPr>
        <w:t xml:space="preserve">Describe it.</w:t>
      </w:r>
      <w:r>
        <w:t xml:space="preserve"> </w:t>
      </w:r>
      <w:r>
        <w:t xml:space="preserve">A text box and a translate button: say what’s wrong in words, and the model returns proposed corrections in the same approval form, with the same checks.</w:t>
      </w:r>
    </w:p>
    <w:p>
      <w:pPr>
        <w:pStyle w:val="BodyText"/>
      </w:pPr>
      <w:r>
        <w:rPr>
          <w:bCs/>
          <w:b/>
        </w:rPr>
        <w:t xml:space="preserve">Let it propose.</w:t>
      </w:r>
      <w:r>
        <w:t xml:space="preserve"> </w:t>
      </w:r>
      <w:r>
        <w:t xml:space="preserve">A batch pass over unrecognised tables, ranked by how many documents each proposal would unlock.</w:t>
      </w:r>
    </w:p>
    <w:p>
      <w:pPr>
        <w:pStyle w:val="BodyText"/>
      </w:pPr>
      <w:r>
        <w:t xml:space="preserve">All three land in one approval form with the same deterministic vetting — already-resolves, superset tie-break, discriminating-required, missing-field guards — and all three write to the sandbox, not to live vocabulary.</w:t>
      </w:r>
    </w:p>
    <w:bookmarkEnd w:id="25"/>
    <w:bookmarkStart w:id="26" w:name="Xd3d8733ce6f9249e7b053e8b952d308a172cb15"/>
    <w:p>
      <w:pPr>
        <w:pStyle w:val="Heading3"/>
      </w:pPr>
      <w:r>
        <w:t xml:space="preserve">And a guard that stops a plausible mistake</w:t>
      </w:r>
    </w:p>
    <w:p>
      <w:pPr>
        <w:pStyle w:val="FirstParagraph"/>
      </w:pPr>
      <w:r>
        <w:t xml:space="preserve">Before offering to widen a shape to claim a column, the form checks whether</w:t>
      </w:r>
      <w:r>
        <w:t xml:space="preserve"> </w:t>
      </w:r>
      <w:r>
        <w:rPr>
          <w:bCs/>
          <w:b/>
        </w:rPr>
        <w:t xml:space="preserve">another</w:t>
      </w:r>
      <w:r>
        <w:t xml:space="preserve"> </w:t>
      </w:r>
      <w:r>
        <w:t xml:space="preserve">shape would explain more of the table. If one would, it says so and refuses to lead with the claim: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Style w:val="VerbatimChar"/>
        </w:rPr>
        <w:t xml:space="preserve">completion</w:t>
      </w:r>
      <w:r>
        <w:t xml:space="preserve"> </w:t>
      </w:r>
      <w:r>
        <w:t xml:space="preserve">would explain more of this table (10 columns vs 4). Widening</w:t>
      </w:r>
      <w:r>
        <w:t xml:space="preserve"> </w:t>
      </w:r>
      <w:r>
        <w:rPr>
          <w:rStyle w:val="VerbatimChar"/>
        </w:rPr>
        <w:t xml:space="preserve">well_header</w:t>
      </w:r>
      <w:r>
        <w:t xml:space="preserve"> </w:t>
      </w:r>
      <w:r>
        <w:t xml:space="preserve">here would teach it to claim tables like this one permanently. Fix the identification first.</w:t>
      </w:r>
    </w:p>
    <w:p>
      <w:pPr>
        <w:pStyle w:val="FirstParagraph"/>
      </w:pPr>
      <w:r>
        <w:t xml:space="preserve">That check exists because a real screenshot showed a completion spreadsheet identified as a well header, with the claim form filled in and one click from cementing it.</w:t>
      </w:r>
      <w:r>
        <w:t xml:space="preserve"> </w:t>
      </w:r>
      <w:r>
        <w:rPr>
          <w:bCs/>
          <w:b/>
        </w:rPr>
        <w:t xml:space="preserve">Widening the wrong shape is how a general shape quietly becomes a specific one for every future document.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wo-audiences-one-page"/>
    <w:p>
      <w:pPr>
        <w:pStyle w:val="Heading2"/>
      </w:pPr>
      <w:r>
        <w:t xml:space="preserve">7 · Two audiences, one page</w:t>
      </w:r>
    </w:p>
    <w:p>
      <w:pPr>
        <w:pStyle w:val="FirstParagraph"/>
      </w:pPr>
      <w:r>
        <w:t xml:space="preserve">Perry, after a day of using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think the document assistant may be too complex for mere mortals.</w:t>
      </w:r>
      <w:r>
        <w:rPr>
          <w:iCs/>
          <w:i/>
        </w:rPr>
        <w:t xml:space="preserve">”</w:t>
      </w:r>
      <w:r>
        <w:t xml:space="preserve"> </w:t>
      </w:r>
      <w:r>
        <w:t xml:space="preserve">He was right, and the day’s own evidence was that the author of the vocabulary got caught by a missing wording, an empty required list, and an unwinnable tie.</w:t>
      </w:r>
    </w:p>
    <w:p>
      <w:pPr>
        <w:pStyle w:val="BodyText"/>
      </w:pPr>
      <w:r>
        <w:t xml:space="preserve">The page now separates two jobs that had been sharing a screen.</w:t>
      </w:r>
    </w:p>
    <w:p>
      <w:pPr>
        <w:pStyle w:val="BodyText"/>
      </w:pPr>
      <w:r>
        <w:rPr>
          <w:bCs/>
          <w:b/>
        </w:rPr>
        <w:t xml:space="preserve">The everyday job</w:t>
      </w:r>
      <w:r>
        <w:t xml:space="preserve"> </w:t>
      </w:r>
      <w:r>
        <w:t xml:space="preserve">is a per-document walk in plain language:</w:t>
      </w:r>
    </w:p>
    <w:p>
      <w:pPr>
        <w:pStyle w:val="BlockText"/>
      </w:pPr>
      <w:r>
        <w:rPr>
          <w:iCs/>
          <w:i/>
        </w:rPr>
        <w:t xml:space="preserve">18 survey stations · well header · 7 log curves · 2 formation tops · logging run · 1 core run</w:t>
      </w:r>
    </w:p>
    <w:p>
      <w:pPr>
        <w:pStyle w:val="FirstParagraph"/>
      </w:pPr>
      <w:r>
        <w:t xml:space="preserve">Two buttons —</w:t>
      </w:r>
      <w:r>
        <w:t xml:space="preserve"> </w:t>
      </w:r>
      <w:r>
        <w:rPr>
          <w:bCs/>
          <w:b/>
        </w:rPr>
        <w:t xml:space="preserve">✔ Looks right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⚑ Something’s wrong</w:t>
      </w:r>
      <w:r>
        <w:t xml:space="preserve"> </w:t>
      </w:r>
      <w:r>
        <w:t xml:space="preserve">— with an optional note. The file, table, header and samples attach automatically. Nothing else is on screen. A document that couldn’t be read says so plainly rather than showing an empty form.</w:t>
      </w:r>
    </w:p>
    <w:p>
      <w:pPr>
        <w:pStyle w:val="BodyText"/>
      </w:pPr>
      <w:r>
        <w:rPr>
          <w:bCs/>
          <w:b/>
        </w:rPr>
        <w:t xml:space="preserve">Vocabulary engineering</w:t>
      </w:r>
      <w:r>
        <w:t xml:space="preserve"> </w:t>
      </w:r>
      <w:r>
        <w:t xml:space="preserve">is behind a toggle, default off. That’s where the teach form, the correction channels, the sandbox and promotion live. It opens with the reader-reported flag queue first, because a report from someone who read the document beats a frequency ranking.</w:t>
      </w:r>
    </w:p>
    <w:p>
      <w:pPr>
        <w:pStyle w:val="BodyText"/>
      </w:pPr>
      <w:r>
        <w:t xml:space="preserve">Perry’s summary of the split: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Simple: pass and collect $200. Fail — go to jail.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working-at-scale"/>
    <w:p>
      <w:pPr>
        <w:pStyle w:val="Heading2"/>
      </w:pPr>
      <w:r>
        <w:t xml:space="preserve">8 · Working at scale</w:t>
      </w:r>
    </w:p>
    <w:p>
      <w:pPr>
        <w:pStyle w:val="FirstParagraph"/>
      </w:pPr>
      <w:r>
        <w:t xml:space="preserve">Opening documents one at a time doesn’t survive fifty thousand of them.</w:t>
      </w:r>
    </w:p>
    <w:p>
      <w:pPr>
        <w:pStyle w:val="BodyText"/>
      </w:pPr>
      <w:r>
        <w:rPr>
          <w:bCs/>
          <w:b/>
        </w:rPr>
        <w:t xml:space="preserve">The census</w:t>
      </w:r>
      <w:r>
        <w:t xml:space="preserve"> </w:t>
      </w:r>
      <w:r>
        <w:t xml:space="preserve">identifies across a whole folder or inventory and stamps a verdict per document — readable, partial, unknown-only, no tables, failed. It ranks the</w:t>
      </w:r>
      <w:r>
        <w:t xml:space="preserve"> </w:t>
      </w:r>
      <w:r>
        <w:rPr>
          <w:bCs/>
          <w:b/>
        </w:rPr>
        <w:t xml:space="preserve">unknown table signatures</w:t>
      </w:r>
      <w:r>
        <w:t xml:space="preserve"> </w:t>
      </w:r>
      <w:r>
        <w:t xml:space="preserve">by how many documents each would unlock, which is the teach-priority queue. Duplicates are detected by size then hash, so a document is assessed once and every copy is stamped.</w:t>
      </w:r>
    </w:p>
    <w:p>
      <w:pPr>
        <w:pStyle w:val="BodyText"/>
      </w:pPr>
      <w:r>
        <w:rPr>
          <w:bCs/>
          <w:b/>
        </w:rPr>
        <w:t xml:space="preserve">It gave a false all-clear, once, and the fix is worth recording.</w:t>
      </w:r>
      <w:r>
        <w:t xml:space="preserve"> </w:t>
      </w:r>
      <w:r>
        <w:t xml:space="preserve">A corpus reported 33 of 33 tables recognised and</w:t>
      </w:r>
      <w:r>
        <w:t xml:space="preserve"> </w:t>
      </w:r>
      <w:r>
        <w:t xml:space="preserve">“</w:t>
      </w:r>
      <w:r>
        <w:t xml:space="preserve">no shape candidates</w:t>
      </w:r>
      <w:r>
        <w:t xml:space="preserve">”</w:t>
      </w:r>
      <w:r>
        <w:t xml:space="preserve"> </w:t>
      </w:r>
      <w:r>
        <w:t xml:space="preserve">— a clean bill of health that was not one, because every real issue that week was</w:t>
      </w:r>
      <w:r>
        <w:t xml:space="preserve"> </w:t>
      </w:r>
      <w:r>
        <w:rPr>
          <w:iCs/>
          <w:i/>
        </w:rPr>
        <w:t xml:space="preserve">column coverage inside tables that identified perfectly</w:t>
      </w:r>
      <w:r>
        <w:t xml:space="preserve">. Discovery only re-read documents with unknowns, so with zero unknowns it found nothing.</w:t>
      </w:r>
      <w:r>
        <w:t xml:space="preserve"> </w:t>
      </w:r>
      <w:r>
        <w:rPr>
          <w:bCs/>
          <w:b/>
        </w:rPr>
        <w:t xml:space="preserve">Recognising a table says nothing about how much of it was kept.</w:t>
      </w:r>
      <w:r>
        <w:t xml:space="preserve"> </w:t>
      </w:r>
      <w:r>
        <w:t xml:space="preserve">It now sweeps readable documents for unclaimed columns when there are no unknowns.</w:t>
      </w:r>
    </w:p>
    <w:p>
      <w:pPr>
        <w:pStyle w:val="BodyText"/>
      </w:pPr>
      <w:r>
        <w:rPr>
          <w:bCs/>
          <w:b/>
        </w:rPr>
        <w:t xml:space="preserve">The expert loop</w:t>
      </w:r>
      <w:r>
        <w:t xml:space="preserve"> </w:t>
      </w:r>
      <w:r>
        <w:t xml:space="preserve">closes the case where the answer isn’t in the building. A bundle exports the situation — pack name and version hash, local overlay, reader flags, unknown table groups with vendor wordings and section titles, near-misses, unclaimed columns — carrying table</w:t>
      </w:r>
      <w:r>
        <w:t xml:space="preserve"> </w:t>
      </w:r>
      <w:r>
        <w:rPr>
          <w:iCs/>
          <w:i/>
        </w:rPr>
        <w:t xml:space="preserve">shapes</w:t>
      </w:r>
      <w:r>
        <w:t xml:space="preserve">, not well data. Alongside it, a baseline snapshot of what the pack reads today, and a checker that loads a candidate pack</w:t>
      </w:r>
      <w:r>
        <w:t xml:space="preserve"> </w:t>
      </w:r>
      <w:r>
        <w:rPr>
          <w:bCs/>
          <w:b/>
        </w:rPr>
        <w:t xml:space="preserve">without installing it</w:t>
      </w:r>
      <w:r>
        <w:t xml:space="preserve">, runs static lints, and re-identifies every snapshot header as fixed, regressed or unchanged. It exits non-zero on a regression.</w:t>
      </w:r>
    </w:p>
    <w:p>
      <w:pPr>
        <w:pStyle w:val="BodyText"/>
      </w:pPr>
      <w:r>
        <w:t xml:space="preserve">That last piece answers a real question: can a customer with no history get a vocabulary fix and know it didn’t break anything. The bundle carries the situation, the checker carries the proof, and the pack’s own comments carry the accumulated judgement — which is why those comments are load-bearing rather than decoration.</w:t>
      </w:r>
    </w:p>
    <w:p>
      <w:r>
        <w:pict>
          <v:rect style="width:0;height:1.5pt" o:hralign="center" o:hrstd="t" o:hr="t"/>
        </w:pict>
      </w:r>
    </w:p>
    <w:bookmarkEnd w:id="29"/>
    <w:bookmarkStart w:id="31" w:name="the-rules-each-earned"/>
    <w:p>
      <w:pPr>
        <w:pStyle w:val="Heading2"/>
      </w:pPr>
      <w:r>
        <w:t xml:space="preserve">9 · The rules, each earned</w:t>
      </w:r>
    </w:p>
    <w:p>
      <w:pPr>
        <w:pStyle w:val="FirstParagraph"/>
      </w:pPr>
      <w:r>
        <w:rPr>
          <w:bCs/>
          <w:b/>
        </w:rPr>
        <w:t xml:space="preserve">A word that is both a unit and a term must never be noise.</w:t>
      </w:r>
      <w:r>
        <w:t xml:space="preserve"> </w:t>
      </w:r>
      <w:r>
        <w:t xml:space="preserve">“</w:t>
      </w:r>
      <w:r>
        <w:t xml:space="preserve">Days On</w:t>
      </w:r>
      <w:r>
        <w:t xml:space="preserve">”</w:t>
      </w:r>
      <w:r>
        <w:t xml:space="preserve"> </w:t>
      </w:r>
      <w:r>
        <w:t xml:space="preserve">made</w:t>
      </w:r>
      <w:r>
        <w:t xml:space="preserve"> </w:t>
      </w:r>
      <w:r>
        <w:rPr>
          <w:iCs/>
          <w:i/>
        </w:rPr>
        <w:t xml:space="preserve">day</w:t>
      </w:r>
      <w:r>
        <w:t xml:space="preserve"> </w:t>
      </w:r>
      <w:r>
        <w:t xml:space="preserve">a noise word, so the alias</w:t>
      </w:r>
      <w:r>
        <w:t xml:space="preserve"> </w:t>
      </w:r>
      <w:r>
        <w:t xml:space="preserve">“</w:t>
      </w:r>
      <w:r>
        <w:t xml:space="preserve">day no</w:t>
      </w:r>
      <w:r>
        <w:t xml:space="preserve">”</w:t>
      </w:r>
      <w:r>
        <w:t xml:space="preserve"> </w:t>
      </w:r>
      <w:r>
        <w:t xml:space="preserve">eroded to a bare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and matched any header containing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. Same failure with</w:t>
      </w:r>
      <w:r>
        <w:t xml:space="preserve"> </w:t>
      </w:r>
      <w:r>
        <w:rPr>
          <w:iCs/>
          <w:i/>
        </w:rPr>
        <w:t xml:space="preserve">hrs</w:t>
      </w:r>
      <w:r>
        <w:t xml:space="preserve">,</w:t>
      </w:r>
      <w:r>
        <w:t xml:space="preserve"> </w:t>
      </w:r>
      <w:r>
        <w:rPr>
          <w:iCs/>
          <w:i/>
        </w:rPr>
        <w:t xml:space="preserve">bbl</w:t>
      </w:r>
      <w:r>
        <w:t xml:space="preserve">,</w:t>
      </w:r>
      <w:r>
        <w:t xml:space="preserve"> </w:t>
      </w:r>
      <w:r>
        <w:rPr>
          <w:iCs/>
          <w:i/>
        </w:rPr>
        <w:t xml:space="preserve">mD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$K</w:t>
      </w:r>
      <w:r>
        <w:t xml:space="preserve">. Four separate instances.</w:t>
      </w:r>
    </w:p>
    <w:p>
      <w:pPr>
        <w:pStyle w:val="BodyText"/>
      </w:pPr>
      <w:r>
        <w:rPr>
          <w:bCs/>
          <w:b/>
        </w:rPr>
        <w:t xml:space="preserve">A noise word inside an alias makes the alias mean something shorter than it reads.</w:t>
      </w:r>
      <w:r>
        <w:t xml:space="preserve"> </w:t>
      </w:r>
      <w:r>
        <w:t xml:space="preserve">“</w:t>
      </w:r>
      <w:r>
        <w:t xml:space="preserve">total depth md</w:t>
      </w:r>
      <w:r>
        <w:t xml:space="preserve">”</w:t>
      </w:r>
      <w:r>
        <w:t xml:space="preserve"> </w:t>
      </w:r>
      <w:r>
        <w:t xml:space="preserve">erodes to</w:t>
      </w:r>
      <w:r>
        <w:t xml:space="preserve"> </w:t>
      </w:r>
      <w:r>
        <w:t xml:space="preserve">“</w:t>
      </w:r>
      <w:r>
        <w:t xml:space="preserve">depth md</w:t>
      </w:r>
      <w:r>
        <w:t xml:space="preserve">”</w:t>
      </w:r>
      <w:r>
        <w:t xml:space="preserve">, which then hijacks a plain</w:t>
      </w:r>
      <w:r>
        <w:t xml:space="preserve"> </w:t>
      </w:r>
      <w:r>
        <w:t xml:space="preserve">“</w:t>
      </w:r>
      <w:r>
        <w:t xml:space="preserve">Depth (ft MD)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 alias cannot win a tie — only pack order can.</w:t>
      </w:r>
      <w:r>
        <w:t xml:space="preserve"> </w:t>
      </w:r>
      <w:r>
        <w:t xml:space="preserve">When a wording ties across two fields, adding it to the loser does nothing. The vetting warning</w:t>
      </w:r>
      <w:r>
        <w:t xml:space="preserve"> </w:t>
      </w:r>
      <w:r>
        <w:t xml:space="preserve">“</w:t>
      </w:r>
      <w:r>
        <w:t xml:space="preserve">already resolves to X</w:t>
      </w:r>
      <w:r>
        <w:t xml:space="preserve">”</w:t>
      </w:r>
      <w:r>
        <w:t xml:space="preserve"> </w:t>
      </w:r>
      <w:r>
        <w:t xml:space="preserve">is the tell, and it means</w:t>
      </w:r>
      <w:r>
        <w:t xml:space="preserve"> </w:t>
      </w:r>
      <w:r>
        <w:rPr>
          <w:iCs/>
          <w:i/>
        </w:rPr>
        <w:t xml:space="preserve">this cannot be fixed from the UI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Generic words are resolved by the shape, not the engine.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means well status in a header and perforation status in a perforation table.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 </w:t>
      </w:r>
      <w:r>
        <w:t xml:space="preserve">means a test result in a DST and a parameter value in a key-value table. Same word, different meaning per table, decided where the context lives.</w:t>
      </w:r>
    </w:p>
    <w:p>
      <w:pPr>
        <w:pStyle w:val="BodyText"/>
      </w:pPr>
      <w:r>
        <w:rPr>
          <w:bCs/>
          <w:b/>
        </w:rPr>
        <w:t xml:space="preserve">A garbled header is an extraction problem.</w:t>
      </w:r>
      <w:r>
        <w:t xml:space="preserve"> </w:t>
      </w:r>
      <w:r>
        <w:t xml:space="preserve">“</w:t>
      </w:r>
      <w:r>
        <w:t xml:space="preserve">Avg VcHl y(%dr)</w:t>
      </w:r>
      <w:r>
        <w:t xml:space="preserve">”</w:t>
      </w:r>
      <w:r>
        <w:t xml:space="preserve"> </w:t>
      </w:r>
      <w:r>
        <w:t xml:space="preserve">is not a vocabulary gap, and teaching it would bind the vocabulary to one PDF’s rendering defect. Say so; never invent an alias for it.</w:t>
      </w:r>
    </w:p>
    <w:p>
      <w:pPr>
        <w:pStyle w:val="BodyText"/>
      </w:pPr>
      <w:r>
        <w:rPr>
          <w:bCs/>
          <w:b/>
        </w:rPr>
        <w:t xml:space="preserve">There are six reasons a column goes unmapped</w:t>
      </w:r>
      <w:r>
        <w:t xml:space="preserve">, and only two are fixable from the UI: the shape doesn’t list a field it understands · the vocabulary lacks the wording · the wording ties with an incumbent · another column already filled that field · it’s structurally the value or label of a key-value table · the header is garbled.</w:t>
      </w:r>
    </w:p>
    <w:bookmarkStart w:id="30" w:name="and-on-the-reader-side"/>
    <w:p>
      <w:pPr>
        <w:pStyle w:val="Heading3"/>
      </w:pPr>
      <w:r>
        <w:t xml:space="preserve">And on the reader side</w:t>
      </w:r>
    </w:p>
    <w:p>
      <w:pPr>
        <w:pStyle w:val="FirstParagraph"/>
      </w:pPr>
      <w:r>
        <w:rPr>
          <w:bCs/>
          <w:b/>
        </w:rPr>
        <w:t xml:space="preserve">Sorting characters left-to-right looks obviously right and corrupts overlapping cells.</w:t>
      </w:r>
      <w:r>
        <w:t xml:space="preserve"> </w:t>
      </w:r>
      <w:r>
        <w:t xml:space="preserve">One PDF composed a header as</w:t>
      </w:r>
      <w:r>
        <w:t xml:space="preserve"> </w:t>
      </w:r>
      <w:r>
        <w:t xml:space="preserve">“</w:t>
      </w:r>
      <w:r>
        <w:t xml:space="preserve">(psGi)radient</w:t>
      </w:r>
      <w:r>
        <w:t xml:space="preserve">”</w:t>
      </w:r>
      <w:r>
        <w:t xml:space="preserve"> </w:t>
      </w:r>
      <w:r>
        <w:t xml:space="preserve">because two cells overlapped by five points. The content stream had the characters in the right order; only the positions overlapped. Group in stream order, treat a negative gap as a column boundary.</w:t>
      </w:r>
    </w:p>
    <w:p>
      <w:pPr>
        <w:pStyle w:val="BodyText"/>
      </w:pPr>
      <w:r>
        <w:rPr>
          <w:bCs/>
          <w:b/>
        </w:rPr>
        <w:t xml:space="preserve">Some PDFs have no space glyphs at all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FinalPressure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ftMD</w:t>
      </w:r>
      <w:r>
        <w:t xml:space="preserve">”</w:t>
      </w:r>
      <w:r>
        <w:t xml:space="preserve">. Re-spacing has to be unit-aware, or</w:t>
      </w:r>
      <w:r>
        <w:t xml:space="preserve"> </w:t>
      </w:r>
      <w:r>
        <w:t xml:space="preserve">“</w:t>
      </w:r>
      <w:r>
        <w:t xml:space="preserve">Mobility(mD/cP)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Mobility(m D/c P)</w:t>
      </w:r>
      <w:r>
        <w:t xml:space="preserve">”</w:t>
      </w:r>
      <w:r>
        <w:t xml:space="preserve"> </w:t>
      </w:r>
      <w:r>
        <w:t xml:space="preserve">and the unit is destroyed while the header appears fixed.</w:t>
      </w:r>
    </w:p>
    <w:p>
      <w:pPr>
        <w:pStyle w:val="BodyText"/>
      </w:pPr>
      <w:r>
        <w:rPr>
          <w:bCs/>
          <w:b/>
        </w:rPr>
        <w:t xml:space="preserve">A placeholder row is the document saying a section is empty.</w:t>
      </w:r>
      <w:r>
        <w:t xml:space="preserve"> </w:t>
      </w:r>
      <w:r>
        <w:t xml:space="preserve">“</w:t>
      </w:r>
      <w:r>
        <w:t xml:space="preserve">No survey data</w:t>
      </w:r>
      <w:r>
        <w:t xml:space="preserve">”</w:t>
      </w:r>
      <w:r>
        <w:t xml:space="preserve"> </w:t>
      </w:r>
      <w:r>
        <w:t xml:space="preserve">must be dropped, not turned into a well test that never happened.</w:t>
      </w:r>
    </w:p>
    <w:p>
      <w:pPr>
        <w:pStyle w:val="BodyText"/>
      </w:pPr>
      <w:r>
        <w:rPr>
          <w:bCs/>
          <w:b/>
        </w:rPr>
        <w:t xml:space="preserve">And a structural rule for pair grids:</w:t>
      </w:r>
      <w:r>
        <w:t xml:space="preserve"> </w:t>
      </w:r>
      <w:r>
        <w:t xml:space="preserve">a real table’s value columns are type-consistent because they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columns; a pair grid’s same position holds an operator, then a UWI, then a state. Requiring mixed types before flattening is what stops a genuine table being collapsed into one row.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earns-a-place-in-the-database"/>
    <w:p>
      <w:pPr>
        <w:pStyle w:val="Heading2"/>
      </w:pPr>
      <w:r>
        <w:t xml:space="preserve">10 · What earns a place in the database</w:t>
      </w:r>
    </w:p>
    <w:p>
      <w:pPr>
        <w:pStyle w:val="FirstParagraph"/>
      </w:pPr>
      <w:r>
        <w:t xml:space="preserve">Recognition is not the same as correctness. A table can identify perfectly and still have a column pointed at the wrong field.</w:t>
      </w:r>
    </w:p>
    <w:p>
      <w:pPr>
        <w:pStyle w:val="BodyText"/>
      </w:pPr>
      <w:r>
        <w:t xml:space="preserve">The design that addresses it rests on a distinction:</w:t>
      </w:r>
      <w:r>
        <w:t xml:space="preserve"> </w:t>
      </w:r>
      <w:r>
        <w:rPr>
          <w:bCs/>
          <w:b/>
        </w:rPr>
        <w:t xml:space="preserve">wrong and missing are not the same failure.</w:t>
      </w:r>
      <w:r>
        <w:t xml:space="preserve"> </w:t>
      </w:r>
      <w:r>
        <w:t xml:space="preserve">Missing is recoverable and visible — the value sits in the extras, the census names it, nothing in the database is false. Wrong is invisible and permanent: permeability filed as measured depth, net pay overwriting gross thickness, a combined figure in the oil column. All three were real, all found in one day, all silently true for weeks.</w:t>
      </w:r>
    </w:p>
    <w:p>
      <w:pPr>
        <w:pStyle w:val="BodyText"/>
      </w:pPr>
      <w:r>
        <w:t xml:space="preserve">So the admission test is</w:t>
      </w:r>
      <w:r>
        <w:t xml:space="preserve"> </w:t>
      </w:r>
      <w:r>
        <w:rPr>
          <w:bCs/>
          <w:b/>
        </w:rPr>
        <w:t xml:space="preserve">strict about wrongness and tolerant of incompleteness</w:t>
      </w:r>
      <w:r>
        <w:t xml:space="preserve"> </w:t>
      </w:r>
      <w:r>
        <w:t xml:space="preserve">— refusing a table for one unclaimed column withholds good data to guard the lesser failure, and makes the gate unreachable.</w:t>
      </w:r>
    </w:p>
    <w:p>
      <w:pPr>
        <w:pStyle w:val="BodyText"/>
      </w:pPr>
      <w:r>
        <w:t xml:space="preserve">Each failure names itself, and the work queue groups</w:t>
      </w:r>
      <w:r>
        <w:t xml:space="preserve"> </w:t>
      </w:r>
      <w:r>
        <w:rPr>
          <w:bCs/>
          <w:b/>
        </w:rPr>
        <w:t xml:space="preserve">by reason rather than by document</w:t>
      </w:r>
      <w:r>
        <w:t xml:space="preserve">: one vocabulary change clears thirty tables. Held tables are stored and re-testable, so improving the vocabulary promotes them with no re-extraction.</w:t>
      </w:r>
    </w:p>
    <w:p>
      <w:pPr>
        <w:pStyle w:val="BodyText"/>
      </w:pPr>
      <w:r>
        <w:t xml:space="preserve">There is also a measurement available that beats an estimate. The mapping tool exports a scout ticket as HTML — data that</w:t>
      </w:r>
      <w:r>
        <w:t xml:space="preserve"> </w:t>
      </w:r>
      <w:r>
        <w:rPr>
          <w:iCs/>
          <w:i/>
        </w:rPr>
        <w:t xml:space="preserve">left</w:t>
      </w:r>
      <w:r>
        <w:t xml:space="preserve"> </w:t>
      </w:r>
      <w:r>
        <w:t xml:space="preserve">the database — and that file reads back through the recogniser at full confidence. Comparing what returns against what went out gives a</w:t>
      </w:r>
      <w:r>
        <w:t xml:space="preserve"> </w:t>
      </w:r>
      <w:r>
        <w:rPr>
          <w:bCs/>
          <w:b/>
        </w:rPr>
        <w:t xml:space="preserve">measured extraction fidelity per field</w:t>
      </w:r>
      <w:r>
        <w:t xml:space="preserve">, and it costs nothing because both halves already exist.</w:t>
      </w:r>
    </w:p>
    <w:p>
      <w:pPr>
        <w:pStyle w:val="BodyText"/>
      </w:pPr>
      <w:r>
        <w:rPr>
          <w:iCs/>
          <w:i/>
        </w:rPr>
        <w:t xml:space="preserve">Status: the store carries the review machinery this would set. Nothing reads it yet. Migration out of the store is the piece that makes the capture → review → migrate loop real.</w:t>
      </w:r>
    </w:p>
    <w:p>
      <w:r>
        <w:pict>
          <v:rect style="width:0;height:1.5pt" o:hralign="center" o:hrstd="t" o:hr="t"/>
        </w:pict>
      </w:r>
    </w:p>
    <w:bookmarkEnd w:id="32"/>
    <w:bookmarkStart w:id="33" w:name="open-items"/>
    <w:p>
      <w:pPr>
        <w:pStyle w:val="Heading2"/>
      </w:pPr>
      <w:r>
        <w:t xml:space="preserve">11 · Open items</w:t>
      </w:r>
    </w:p>
    <w:p>
      <w:pPr>
        <w:pStyle w:val="FirstParagraph"/>
      </w:pPr>
      <w:r>
        <w:rPr>
          <w:bCs/>
          <w:b/>
        </w:rPr>
        <w:t xml:space="preserve">Migration from the store into the database is not built</w:t>
      </w:r>
      <w:r>
        <w:t xml:space="preserve"> </w:t>
      </w:r>
      <w:r>
        <w:t xml:space="preserve">— review status is written and nothing reads it.</w:t>
      </w:r>
    </w:p>
    <w:p>
      <w:pPr>
        <w:pStyle w:val="BodyText"/>
      </w:pPr>
      <w:r>
        <w:rPr>
          <w:bCs/>
          <w:b/>
        </w:rPr>
        <w:t xml:space="preserve">Roughly 635 captured rows sit in shapes with no target</w:t>
      </w:r>
      <w:r>
        <w:t xml:space="preserve">: key-value pairs, curve readings, cement bond, operations NPT, fluid samples. Each needs a table and a decision, and the key-value ones may be better pivoted than stored as pairs.</w:t>
      </w:r>
    </w:p>
    <w:p>
      <w:pPr>
        <w:pStyle w:val="BodyText"/>
      </w:pPr>
      <w:r>
        <w:rPr>
          <w:bCs/>
          <w:b/>
        </w:rPr>
        <w:t xml:space="preserve">One ruled-path PDF still mangles two headers.</w:t>
      </w:r>
      <w:r>
        <w:t xml:space="preserve"> </w:t>
      </w:r>
      <w:r>
        <w:t xml:space="preserve">Diagnosed — the cell boxes themselves overlap, so rebuilding from characters catches the neighbour’s — and an attempted fix made it worse and was reverted. The real fix has to clip each cell’s characters against a neighbour that starts later.</w:t>
      </w:r>
    </w:p>
    <w:p>
      <w:pPr>
        <w:pStyle w:val="BodyText"/>
      </w:pPr>
      <w:r>
        <w:rPr>
          <w:bCs/>
          <w:b/>
        </w:rPr>
        <w:t xml:space="preserve">Perforation and reservoir shapes don’t exist</w:t>
      </w:r>
      <w:r>
        <w:t xml:space="preserve">, so their mirrors stay empty. Whether to write them depends on whether the source documents carry those sections.</w:t>
      </w:r>
    </w:p>
    <w:p>
      <w:pPr>
        <w:pStyle w:val="BodyText"/>
      </w:pPr>
      <w:r>
        <w:rPr>
          <w:bCs/>
          <w:b/>
        </w:rPr>
        <w:t xml:space="preserve">The census reports pair-grid value cells as unclaimed columns</w:t>
      </w:r>
      <w:r>
        <w:t xml:space="preserve"> </w:t>
      </w:r>
      <w:r>
        <w:t xml:space="preserve">on shapes carrying a transform. Suppressed in the two reports that matter, but the underlying signal is still noisy.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5496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0404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2026-08-09T14:30:17Z</dcterms:created>
  <dcterms:modified xsi:type="dcterms:W3CDTF">2026-08-09T14:30:17Z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