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apping-dataviews-exploration-surface"/>
    <w:p>
      <w:pPr>
        <w:pStyle w:val="Heading1"/>
      </w:pPr>
      <w:r>
        <w:t xml:space="preserve">Mapping — DataView’s exploration surface</w:t>
      </w:r>
    </w:p>
    <w:p>
      <w:pPr>
        <w:pStyle w:val="FirstParagraph"/>
      </w:pPr>
      <w:r>
        <w:rPr>
          <w:iCs/>
          <w:i/>
        </w:rPr>
        <w:t xml:space="preserve">Component documentation · Data Wrangler v4</w:t>
      </w:r>
      <w:r>
        <w:t xml:space="preserve"> </w:t>
      </w:r>
      <w:r>
        <w:rPr>
          <w:iCs/>
          <w:i/>
        </w:rPr>
        <w:t xml:space="preserve">Written 8 August 2026 against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dataview/mapping/page_well_map.py</w:t>
      </w:r>
      <w:r>
        <w:rPr>
          <w:iCs/>
          <w:i/>
        </w:rPr>
        <w:t xml:space="preserve"> </w:t>
      </w:r>
      <w:r>
        <w:rPr>
          <w:iCs/>
          <w:i/>
        </w:rPr>
        <w:t xml:space="preserve">(~8,700 lines)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page_well_documents.py</w:t>
      </w:r>
      <w:r>
        <w:rPr>
          <w:iCs/>
          <w:i/>
        </w:rPr>
        <w:t xml:space="preserve">. Behaviour described here has been exercised against the live database.</w:t>
      </w:r>
    </w:p>
    <w:p>
      <w:r>
        <w:pict>
          <v:rect style="width:0;height:1.5pt" o:hralign="center" o:hrstd="t" o:hr="t"/>
        </w:pict>
      </w:r>
    </w:p>
    <w:bookmarkStart w:id="20" w:name="what-mapping-is-for"/>
    <w:p>
      <w:pPr>
        <w:pStyle w:val="Heading2"/>
      </w:pPr>
      <w:r>
        <w:t xml:space="preserve">1 · What Mapping is for</w:t>
      </w:r>
    </w:p>
    <w:p>
      <w:pPr>
        <w:pStyle w:val="FirstParagraph"/>
      </w:pPr>
      <w:r>
        <w:t xml:space="preserve">A database of three million wells answers questions you can already phrase. Mapping is for the ones you can’t.</w:t>
      </w:r>
    </w:p>
    <w:p>
      <w:pPr>
        <w:pStyle w:val="BodyText"/>
      </w:pPr>
      <w:r>
        <w:rPr>
          <w:iCs/>
          <w:i/>
        </w:rPr>
        <w:t xml:space="preserve">What’s in this area? Who operates it? Which of these wells has a directional survey? What documents do we hold on that lease?</w:t>
      </w:r>
      <w:r>
        <w:t xml:space="preserve"> </w:t>
      </w:r>
      <w:r>
        <w:t xml:space="preserve">Those start as a rectangle drawn on a screen, not as SQL — and the answer is usually another question. The map is where a person goes from</w:t>
      </w:r>
      <w:r>
        <w:t xml:space="preserve"> </w:t>
      </w:r>
      <w:r>
        <w:t xml:space="preserve">“</w:t>
      </w:r>
      <w:r>
        <w:t xml:space="preserve">we own data about this region</w:t>
      </w:r>
      <w:r>
        <w:t xml:space="preserve">”</w:t>
      </w:r>
      <w:r>
        <w:t xml:space="preserve"> </w:t>
      </w:r>
      <w:r>
        <w:t xml:space="preserve">to a specific well and the document it came from.</w:t>
      </w:r>
    </w:p>
    <w:p>
      <w:pPr>
        <w:pStyle w:val="BodyText"/>
      </w:pPr>
      <w:r>
        <w:rPr>
          <w:bCs/>
          <w:b/>
        </w:rPr>
        <w:t xml:space="preserve">It is not a separate application.</w:t>
      </w:r>
      <w:r>
        <w:t xml:space="preserve"> </w:t>
      </w:r>
      <w:r>
        <w:t xml:space="preserve">DataView is the database and the tool for exploring it; Mapping is the second half. The distinction that matters is in section 3:</w:t>
      </w:r>
      <w:r>
        <w:t xml:space="preserve"> </w:t>
      </w:r>
      <w:r>
        <w:rPr>
          <w:bCs/>
          <w:b/>
        </w:rPr>
        <w:t xml:space="preserve">the map draws what the database holds</w:t>
      </w:r>
      <w:r>
        <w:t xml:space="preserve">, rather than computing shapes at render time. A line on screen is a row you can query.</w:t>
      </w:r>
    </w:p>
    <w:p>
      <w:r>
        <w:pict>
          <v:rect style="width:0;height:1.5pt" o:hralign="center" o:hrstd="t" o:hr="t"/>
        </w:pict>
      </w:r>
    </w:p>
    <w:bookmarkEnd w:id="20"/>
    <w:bookmarkStart w:id="25" w:name="what-it-draws"/>
    <w:p>
      <w:pPr>
        <w:pStyle w:val="Heading2"/>
      </w:pPr>
      <w:r>
        <w:t xml:space="preserve">2 · What it draws</w:t>
      </w:r>
    </w:p>
    <w:p>
      <w:pPr>
        <w:pStyle w:val="FirstParagraph"/>
      </w:pPr>
      <w:r>
        <w:t xml:space="preserve">Layers come from three places, and knowing which is which explains most of what’s confusing about the page.</w:t>
      </w:r>
    </w:p>
    <w:bookmarkStart w:id="21" w:name="stored-geography-the-dv_-tables"/>
    <w:p>
      <w:pPr>
        <w:pStyle w:val="Heading3"/>
      </w:pPr>
      <w:r>
        <w:t xml:space="preserve">Stored geography — the</w:t>
      </w:r>
      <w:r>
        <w:t xml:space="preserve"> </w:t>
      </w:r>
      <w:r>
        <w:rPr>
          <w:rStyle w:val="VerbatimChar"/>
        </w:rPr>
        <w:t xml:space="preserve">dv_*</w:t>
      </w:r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Each of these is a</w:t>
      </w:r>
      <w:r>
        <w:t xml:space="preserve"> </w:t>
      </w:r>
      <w:r>
        <w:rPr>
          <w:rStyle w:val="VerbatimChar"/>
        </w:rPr>
        <w:t xml:space="preserve">geography</w:t>
      </w:r>
      <w:r>
        <w:t xml:space="preserve"> </w:t>
      </w:r>
      <w:r>
        <w:t xml:space="preserve">column, SRID 4326, written by promote or by a computation that ran once: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 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dv_well.geog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POINT, derived from surface lat/long at promote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Well paths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dv_well_dir_srvy_hdr.PATH_GEOG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LINESTRING — the real survey trajectory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dv_field.geog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Leases / 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dv_land_tract.geog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dv_boundary.geog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Polygon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dv_pipeline.geog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Seismic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dv_seis_line.geog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LINESTRING — trace order, not a hull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Seismic footprints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dv_seis_set.geog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Polygon only</w:t>
            </w:r>
          </w:p>
        </w:tc>
      </w:tr>
    </w:tbl>
    <w:p>
      <w:pPr>
        <w:pStyle w:val="BodyText"/>
      </w:pPr>
      <w:r>
        <w:t xml:space="preserve">That last constraint is not stylistic. A LINESTRING once landed in the survey-footprint column and the whole seismic layer vanished — the page shares one error handler across footprints and lines, so the type mismatch took both.</w:t>
      </w:r>
      <w:r>
        <w:t xml:space="preserve"> </w:t>
      </w:r>
      <w:r>
        <w:rPr>
          <w:bCs/>
          <w:b/>
        </w:rPr>
        <w:t xml:space="preserve">A geometry type in a shared column is a rendering contract, not a detail.</w:t>
      </w:r>
    </w:p>
    <w:bookmarkEnd w:id="21"/>
    <w:bookmarkStart w:id="22" w:name="X3bd5756269e067e25f00243080d9b6f642682b4"/>
    <w:p>
      <w:pPr>
        <w:pStyle w:val="Heading3"/>
      </w:pPr>
      <w:r>
        <w:t xml:space="preserve">Catalogued geography — straight from the file catalog</w:t>
      </w:r>
    </w:p>
    <w:p>
      <w:pPr>
        <w:pStyle w:val="FirstParagraph"/>
      </w:pPr>
      <w:r>
        <w:t xml:space="preserve">Shapefiles classified as FIELD, LAND_TRACT, BOUNDARY or PIPELINE store their outline as WKT directly in</w:t>
      </w:r>
      <w:r>
        <w:t xml:space="preserve"> </w:t>
      </w:r>
      <w:r>
        <w:rPr>
          <w:rStyle w:val="VerbatimChar"/>
        </w:rPr>
        <w:t xml:space="preserve">GLOBAL_FILE_CATALOG.SPATIAL_OUTLINE</w:t>
      </w:r>
      <w:r>
        <w:t xml:space="preserve">, with the category in</w:t>
      </w:r>
      <w:r>
        <w:t xml:space="preserve"> </w:t>
      </w:r>
      <w:r>
        <w:rPr>
          <w:rStyle w:val="VerbatimChar"/>
        </w:rPr>
        <w:t xml:space="preserve">CATALOG_TABLE</w:t>
      </w:r>
      <w:r>
        <w:t xml:space="preserve">. Seismic outlines go to</w:t>
      </w:r>
      <w:r>
        <w:t xml:space="preserve"> </w:t>
      </w:r>
      <w:r>
        <w:rPr>
          <w:rStyle w:val="VerbatimChar"/>
        </w:rPr>
        <w:t xml:space="preserve">FILE_SEIS_HEADER.SURVEY_OUTLINE</w:t>
      </w:r>
      <w:r>
        <w:t xml:space="preserve">.</w:t>
      </w:r>
      <w:r>
        <w:t xml:space="preserve"> </w:t>
      </w:r>
      <w:r>
        <w:rPr>
          <w:bCs/>
          <w:b/>
        </w:rPr>
        <w:t xml:space="preserve">Neither needs a promote</w:t>
      </w:r>
      <w:r>
        <w:t xml:space="preserve"> </w:t>
      </w:r>
      <w:r>
        <w:t xml:space="preserve">— they draw as soon as the file is catalogued.</w:t>
      </w:r>
    </w:p>
    <w:p>
      <w:pPr>
        <w:pStyle w:val="BodyText"/>
      </w:pPr>
      <w:r>
        <w:t xml:space="preserve">The WKT is already reprojected to WGS84 and ring-oriented by the extractor, which matters: a clockwise exterior ring read as geography means</w:t>
      </w:r>
      <w:r>
        <w:t xml:space="preserve"> </w:t>
      </w:r>
      <w:r>
        <w:rPr>
          <w:iCs/>
          <w:i/>
        </w:rPr>
        <w:t xml:space="preserve">the whole Earth except this polygon</w:t>
      </w:r>
      <w:r>
        <w:t xml:space="preserve">.</w:t>
      </w:r>
    </w:p>
    <w:bookmarkEnd w:id="22"/>
    <w:bookmarkStart w:id="23" w:name="computed-at-render-seismic-coverage"/>
    <w:p>
      <w:pPr>
        <w:pStyle w:val="Heading3"/>
      </w:pPr>
      <w:r>
        <w:t xml:space="preserve">Computed at render — seismic coverage</w:t>
      </w:r>
    </w:p>
    <w:p>
      <w:pPr>
        <w:pStyle w:val="FirstParagraph"/>
      </w:pPr>
      <w:r>
        <w:t xml:space="preserve">2D surveys are drawn as a</w:t>
      </w:r>
      <w:r>
        <w:t xml:space="preserve"> </w:t>
      </w:r>
      <w:r>
        <w:rPr>
          <w:bCs/>
          <w:b/>
        </w:rPr>
        <w:t xml:space="preserve">deliberately approximate</w:t>
      </w:r>
      <w:r>
        <w:t xml:space="preserve"> </w:t>
      </w:r>
      <w:r>
        <w:t xml:space="preserve">blob — the convex hull of each survey’s line bounding boxes, buffered. Perry’s word for them is</w:t>
      </w:r>
      <w:r>
        <w:t xml:space="preserve"> </w:t>
      </w:r>
      <w:r>
        <w:t xml:space="preserve">“</w:t>
      </w:r>
      <w:r>
        <w:t xml:space="preserve">computed blobs</w:t>
      </w:r>
      <w:r>
        <w:t xml:space="preserve">”</w:t>
      </w:r>
      <w:r>
        <w:t xml:space="preserve">, and the buffer exists so they read as an approximation rather than a claim.</w:t>
      </w:r>
    </w:p>
    <w:p>
      <w:pPr>
        <w:pStyle w:val="BodyText"/>
      </w:pPr>
      <w:r>
        <w:t xml:space="preserve">3D surveys prefer the real outline, dissolved per survey, and fall back to a bounding-box rectangle only where no outline exists. That preference took 3D coverage from 3 footprints to 5 and gives truer shapes, since a bbox over-covers a non-rectangular survey.</w:t>
      </w:r>
    </w:p>
    <w:bookmarkEnd w:id="23"/>
    <w:bookmarkStart w:id="24" w:name="and-h3-for-scale"/>
    <w:p>
      <w:pPr>
        <w:pStyle w:val="Heading3"/>
      </w:pPr>
      <w:r>
        <w:t xml:space="preserve">And H3, for scale</w:t>
      </w:r>
    </w:p>
    <w:p>
      <w:pPr>
        <w:pStyle w:val="FirstParagraph"/>
      </w:pPr>
      <w:r>
        <w:rPr>
          <w:rStyle w:val="VerbatimChar"/>
        </w:rPr>
        <w:t xml:space="preserve">dv_well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h3_r4</w:t>
      </w:r>
      <w:r>
        <w:t xml:space="preserve">–</w:t>
      </w:r>
      <w:r>
        <w:rPr>
          <w:rStyle w:val="VerbatimChar"/>
        </w:rPr>
        <w:t xml:space="preserve">h3_r7</w:t>
      </w:r>
      <w:r>
        <w:t xml:space="preserve">. At continental zoom, aggregating 3.9 million wells is a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on a string rather than a spatial operation; zooming in is choosing a finer resolution column. It’s also what lets wells from differently-shaped source schemas be counted together — a cell is derivable from a coordinate alone.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geometry-lives-in-the-database"/>
    <w:p>
      <w:pPr>
        <w:pStyle w:val="Heading2"/>
      </w:pPr>
      <w:r>
        <w:t xml:space="preserve">3 · Geometry lives in the database</w:t>
      </w:r>
    </w:p>
    <w:p>
      <w:pPr>
        <w:pStyle w:val="FirstParagraph"/>
      </w:pPr>
      <w:r>
        <w:t xml:space="preserve">The map issues</w:t>
      </w:r>
      <w:r>
        <w:t xml:space="preserve"> </w:t>
      </w:r>
      <w:r>
        <w:rPr>
          <w:rStyle w:val="VerbatimChar"/>
        </w:rPr>
        <w:t xml:space="preserve">SELECT geog.STAsText()</w:t>
      </w:r>
      <w:r>
        <w:t xml:space="preserve">. It does not compute shapes.</w:t>
      </w:r>
    </w:p>
    <w:p>
      <w:pPr>
        <w:pStyle w:val="BodyText"/>
      </w:pPr>
      <w:r>
        <w:t xml:space="preserve">That sounds like an implementation note and it’s the central design position. A well path drawn on screen was computed once — minimum curvature over the survey stations, projected through UTM, stored as a LINESTRING — so the same geometry is available to any query, export or report without re-deriving it, and two people looking at the same well see the same line.</w:t>
      </w:r>
    </w:p>
    <w:p>
      <w:pPr>
        <w:pStyle w:val="BodyText"/>
      </w:pPr>
      <w:r>
        <w:t xml:space="preserve">The alternative, computing at render, was built and kept as a</w:t>
      </w:r>
      <w:r>
        <w:t xml:space="preserve"> </w:t>
      </w:r>
      <w:r>
        <w:rPr>
          <w:iCs/>
          <w:i/>
        </w:rPr>
        <w:t xml:space="preserve">second</w:t>
      </w:r>
      <w:r>
        <w:t xml:space="preserve"> </w:t>
      </w:r>
      <w:r>
        <w:t xml:space="preserve">function for a specific case: a live layer that recomputes on every draw, suitable for a field-sized selection where you want the current answer rather than the stored one. Two functions, named for what they do, rather than one that guesses.</w:t>
      </w:r>
    </w:p>
    <w:p>
      <w:pPr>
        <w:pStyle w:val="BodyText"/>
      </w:pPr>
      <w:r>
        <w:rPr>
          <w:bCs/>
          <w:b/>
        </w:rPr>
        <w:t xml:space="preserve">Well paths are worth a note of their own</w:t>
      </w:r>
      <w:r>
        <w:t xml:space="preserve">, because the computation has three traps that each look like a rendering bug: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Azimuth reference.</w:t>
      </w:r>
      <w:r>
        <w:t xml:space="preserve"> </w:t>
      </w:r>
      <w:r>
        <w:t xml:space="preserve">Survey azimuths are usually true north; adding a north offset to a UTM northing moves along</w:t>
      </w:r>
      <w:r>
        <w:t xml:space="preserve"> </w:t>
      </w:r>
      <w:r>
        <w:rPr>
          <w:iCs/>
          <w:i/>
        </w:rPr>
        <w:t xml:space="preserve">grid</w:t>
      </w:r>
      <w:r>
        <w:t xml:space="preserve"> </w:t>
      </w:r>
      <w:r>
        <w:t xml:space="preserve">north. At 1.3° from a zone’s central meridian that’s 7.4 m over 621 m of displacement. The two implementations of the path calculation disagreed by exactly that until the convergence rotation was added.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Units.</w:t>
      </w:r>
      <w:r>
        <w:t xml:space="preserve"> </w:t>
      </w:r>
      <w:r>
        <w:t xml:space="preserve">A metres survey computed as feet is off by 3.28× and still looks like a well.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TVD versus TVDSS.</w:t>
      </w:r>
      <w:r>
        <w:t xml:space="preserve"> </w:t>
      </w:r>
      <w:r>
        <w:t xml:space="preserve">Fine in plan view, wrong in a cross-section.</w:t>
      </w:r>
    </w:p>
    <w:p>
      <w:pPr>
        <w:pStyle w:val="FirstParagraph"/>
      </w:pPr>
      <w:r>
        <w:t xml:space="preserve">A cross-check against each survey’s own reported TVD catches all three before anything is written.</w:t>
      </w:r>
    </w:p>
    <w:p>
      <w:r>
        <w:pict>
          <v:rect style="width:0;height:1.5pt" o:hralign="center" o:hrstd="t" o:hr="t"/>
        </w:pict>
      </w:r>
    </w:p>
    <w:bookmarkEnd w:id="26"/>
    <w:bookmarkStart w:id="27" w:name="finding-wells"/>
    <w:p>
      <w:pPr>
        <w:pStyle w:val="Heading2"/>
      </w:pPr>
      <w:r>
        <w:t xml:space="preserve">4 · Finding wells</w:t>
      </w:r>
    </w:p>
    <w:p>
      <w:pPr>
        <w:pStyle w:val="FirstParagraph"/>
      </w:pPr>
      <w:r>
        <w:rPr>
          <w:bCs/>
          <w:b/>
        </w:rPr>
        <w:t xml:space="preserve">Filters push down to SQL.</w:t>
      </w:r>
      <w:r>
        <w:t xml:space="preserve"> </w:t>
      </w:r>
      <w:r>
        <w:t xml:space="preserve">Operator, county, well type, depth range — applied in the query, not in the browser.</w:t>
      </w:r>
    </w:p>
    <w:p>
      <w:pPr>
        <w:pStyle w:val="BodyText"/>
      </w:pPr>
      <w:r>
        <w:t xml:space="preserve">Two things about that were learned the hard way and are worth stating as rules. The dropdown’s options come from a</w:t>
      </w:r>
      <w:r>
        <w:t xml:space="preserve"> </w:t>
      </w:r>
      <w:r>
        <w:rPr>
          <w:bCs/>
          <w:b/>
        </w:rPr>
        <w:t xml:space="preserve">separate</w:t>
      </w:r>
      <w:r>
        <w:t xml:space="preserve"> </w:t>
      </w:r>
      <w:r>
        <w:t xml:space="preserve">query scoped by the spatial clause but never by the attribute clause — options built from the currently-filtered wells collapse to a single value the moment the filter works, with no way back. And every query in the family must agree on the expression: one built</w:t>
      </w:r>
      <w:r>
        <w:t xml:space="preserve"> </w:t>
      </w:r>
      <w:r>
        <w:rPr>
          <w:rStyle w:val="VerbatimChar"/>
        </w:rPr>
        <w:t xml:space="preserve">COALESCE(w.operator_name, ba.ba_name)</w:t>
      </w:r>
      <w:r>
        <w:t xml:space="preserve"> </w:t>
      </w:r>
      <w:r>
        <w:t xml:space="preserve">against a query that didn’t join</w:t>
      </w:r>
      <w:r>
        <w:t xml:space="preserve"> </w:t>
      </w:r>
      <w:r>
        <w:rPr>
          <w:rStyle w:val="VerbatimChar"/>
        </w:rPr>
        <w:t xml:space="preserve">ba</w:t>
      </w:r>
      <w:r>
        <w:t xml:space="preserve">, which errored, returned a sentinel, emptied the map, and made the control vanish and reset itself.</w:t>
      </w:r>
    </w:p>
    <w:p>
      <w:pPr>
        <w:pStyle w:val="BodyText"/>
      </w:pPr>
      <w:r>
        <w:rPr>
          <w:bCs/>
          <w:b/>
        </w:rPr>
        <w:t xml:space="preserve">Drawing</w:t>
      </w:r>
      <w:r>
        <w:t xml:space="preserve"> </w:t>
      </w:r>
      <w:r>
        <w:t xml:space="preserve">a rectangle or circle selects wells into a shadow set, so a well found by drawing stays findable after the fact.</w:t>
      </w:r>
    </w:p>
    <w:p>
      <w:pPr>
        <w:pStyle w:val="BodyText"/>
      </w:pPr>
      <w:r>
        <w:rPr>
          <w:bCs/>
          <w:b/>
        </w:rPr>
        <w:t xml:space="preserve">The AI filter</w:t>
      </w:r>
      <w:r>
        <w:t xml:space="preserve"> </w:t>
      </w:r>
      <w:r>
        <w:t xml:space="preserve">takes a natural-language question and returns a</w:t>
      </w:r>
      <w:r>
        <w:t xml:space="preserve"> </w:t>
      </w:r>
      <w:r>
        <w:rPr>
          <w:bCs/>
          <w:b/>
        </w:rPr>
        <w:t xml:space="preserve">JSON spec</w:t>
      </w:r>
      <w:r>
        <w:t xml:space="preserve">, not SQL. The spec is applied in pandas over already-loaded wells, and the panel says so. The distinction matters for trust: nothing the model produces reaches the database as a query.</w:t>
      </w:r>
    </w:p>
    <w:p>
      <w:pPr>
        <w:pStyle w:val="BodyText"/>
      </w:pPr>
      <w:r>
        <w:t xml:space="preserve">Four things about it are worth knowing because each was a real defect:</w:t>
      </w:r>
    </w:p>
    <w:p>
      <w:pPr>
        <w:numPr>
          <w:ilvl w:val="0"/>
          <w:numId w:val="1002"/>
        </w:numPr>
        <w:pStyle w:val="Compact"/>
      </w:pPr>
      <w:r>
        <w:t xml:space="preserve">Comparisons fall back to</w:t>
      </w:r>
      <w:r>
        <w:t xml:space="preserve"> </w:t>
      </w:r>
      <w:r>
        <w:rPr>
          <w:bCs/>
          <w:b/>
        </w:rPr>
        <w:t xml:space="preserve">text</w:t>
      </w:r>
      <w:r>
        <w:t xml:space="preserve"> </w:t>
      </w:r>
      <w:r>
        <w:t xml:space="preserve">when numeric parsing fails. ISO dates sort correctly as strings, so no date parser is needed — and an unevaluable clause counts as</w:t>
      </w:r>
      <w:r>
        <w:t xml:space="preserve"> </w:t>
      </w:r>
      <w:r>
        <w:rPr>
          <w:bCs/>
          <w:b/>
        </w:rPr>
        <w:t xml:space="preserve">not matching</w:t>
      </w:r>
      <w:r>
        <w:t xml:space="preserve"> </w:t>
      </w:r>
      <w:r>
        <w:t xml:space="preserve">rather than silently passing. Before that,</w:t>
      </w:r>
      <w:r>
        <w:t xml:space="preserve"> </w:t>
      </w:r>
      <w:r>
        <w:rPr>
          <w:rStyle w:val="VerbatimChar"/>
        </w:rPr>
        <w:t xml:space="preserve">float("2020-01-01")</w:t>
      </w:r>
      <w:r>
        <w:t xml:space="preserve"> </w:t>
      </w:r>
      <w:r>
        <w:t xml:space="preserve">raised inside a bare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since 2020</w:t>
      </w:r>
      <w:r>
        <w:t xml:space="preserve">”</w:t>
      </w:r>
      <w:r>
        <w:t xml:space="preserve"> </w:t>
      </w:r>
      <w:r>
        <w:t xml:space="preserve">matched every well.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bcp</w:t>
      </w:r>
      <w:r>
        <w:t xml:space="preserve"> </w:t>
      </w:r>
      <w:r>
        <w:t xml:space="preserve">writes an unset value as the literal text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"NULL" &gt;= "2020-01-01"</w:t>
      </w:r>
      <w:r>
        <w:t xml:space="preserve"> </w:t>
      </w:r>
      <w:r>
        <w:t xml:space="preserve">is true lexicographically. Absent values are now recognised as absent.</w:t>
      </w:r>
    </w:p>
    <w:p>
      <w:pPr>
        <w:numPr>
          <w:ilvl w:val="0"/>
          <w:numId w:val="1002"/>
        </w:numPr>
        <w:pStyle w:val="Compact"/>
      </w:pPr>
      <w:r>
        <w:t xml:space="preserve">The filter was correct and</w:t>
      </w:r>
      <w:r>
        <w:t xml:space="preserve"> </w:t>
      </w:r>
      <w:r>
        <w:rPr>
          <w:bCs/>
          <w:b/>
        </w:rPr>
        <w:t xml:space="preserve">the map ignored it</w:t>
      </w:r>
      <w:r>
        <w:t xml:space="preserve"> </w:t>
      </w:r>
      <w:r>
        <w:t xml:space="preserve">— the drill shadow was merged back in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filter ran. Now the shadow goes through the same filter.</w:t>
      </w:r>
    </w:p>
    <w:p>
      <w:pPr>
        <w:numPr>
          <w:ilvl w:val="0"/>
          <w:numId w:val="1002"/>
        </w:numPr>
        <w:pStyle w:val="Compact"/>
      </w:pPr>
      <w:r>
        <w:t xml:space="preserve">The panel’s diagnostics render the spec as a readable WHERE clause and apply each clause</w:t>
      </w:r>
      <w:r>
        <w:t xml:space="preserve"> </w:t>
      </w:r>
      <w:r>
        <w:rPr>
          <w:iCs/>
          <w:i/>
        </w:rPr>
        <w:t xml:space="preserve">alone</w:t>
      </w:r>
      <w:r>
        <w:t xml:space="preserve"> </w:t>
      </w:r>
      <w:r>
        <w:t xml:space="preserve">with example values, because a combined zero tells you nothing: sensible filter with no matching data, filter on an empty column, and a model that got it wrong all look identical otherwise.</w:t>
      </w:r>
    </w:p>
    <w:p>
      <w:r>
        <w:pict>
          <v:rect style="width:0;height:1.5pt" o:hralign="center" o:hrstd="t" o:hr="t"/>
        </w:pict>
      </w:r>
    </w:p>
    <w:bookmarkEnd w:id="27"/>
    <w:bookmarkStart w:id="28" w:name="from-a-map-to-an-answer"/>
    <w:p>
      <w:pPr>
        <w:pStyle w:val="Heading2"/>
      </w:pPr>
      <w:r>
        <w:t xml:space="preserve">5 · From a map to an answer</w:t>
      </w:r>
    </w:p>
    <w:p>
      <w:pPr>
        <w:pStyle w:val="FirstParagraph"/>
      </w:pPr>
      <w:r>
        <w:t xml:space="preserve">Selecting a well opens the</w:t>
      </w:r>
      <w:r>
        <w:t xml:space="preserve"> </w:t>
      </w:r>
      <w:r>
        <w:rPr>
          <w:bCs/>
          <w:b/>
        </w:rPr>
        <w:t xml:space="preserve">scout ticket</w:t>
      </w:r>
      <w:r>
        <w:t xml:space="preserve"> </w:t>
      </w:r>
      <w:r>
        <w:t xml:space="preserve">— a report assembled from the database: header, tops, surveys, completions, stimulations, DSTs, cores, petrophysics, production.</w:t>
      </w:r>
    </w:p>
    <w:p>
      <w:pPr>
        <w:pStyle w:val="BodyText"/>
      </w:pPr>
      <w:r>
        <w:t xml:space="preserve">Beneath it, inside the border so it travels with every export, is the</w:t>
      </w:r>
      <w:r>
        <w:t xml:space="preserve"> </w:t>
      </w:r>
      <w:r>
        <w:rPr>
          <w:bCs/>
          <w:b/>
        </w:rPr>
        <w:t xml:space="preserve">provenance footer</w:t>
      </w:r>
      <w:r>
        <w:t xml:space="preserve">:</w:t>
      </w:r>
    </w:p>
    <w:p>
      <w:pPr>
        <w:pStyle w:val="BlockText"/>
      </w:pPr>
      <w:r>
        <w:rPr>
          <w:iCs/>
          <w:i/>
        </w:rPr>
        <w:t xml:space="preserve">N rows across M tables · K (P%) traceable to a document · D source documents</w:t>
      </w:r>
    </w:p>
    <w:p>
      <w:pPr>
        <w:pStyle w:val="FirstParagraph"/>
      </w:pPr>
      <w:r>
        <w:t xml:space="preserve">Then each document as a link with its modified date, and a warning where source ids resolve to nothing. Counts come from introspection — every</w:t>
      </w:r>
      <w:r>
        <w:t xml:space="preserve"> </w:t>
      </w:r>
      <w:r>
        <w:rPr>
          <w:rStyle w:val="VerbatimChar"/>
        </w:rPr>
        <w:t xml:space="preserve">dv_</w:t>
      </w:r>
      <w:r>
        <w:t xml:space="preserve"> </w:t>
      </w:r>
      <w:r>
        <w:t xml:space="preserve">table carrying both a</w:t>
      </w:r>
      <w:r>
        <w:t xml:space="preserve"> </w:t>
      </w:r>
      <w:r>
        <w:rPr>
          <w:rStyle w:val="VerbatimChar"/>
        </w:rPr>
        <w:t xml:space="preserve">uwi</w:t>
      </w:r>
      <w:r>
        <w:t xml:space="preserve"> </w:t>
      </w:r>
      <w:r>
        <w:t xml:space="preserve">and an</w:t>
      </w:r>
      <w:r>
        <w:t xml:space="preserve"> </w:t>
      </w:r>
      <w:r>
        <w:rPr>
          <w:rStyle w:val="VerbatimChar"/>
        </w:rPr>
        <w:t xml:space="preserve">inventory_id</w:t>
      </w:r>
      <w:r>
        <w:t xml:space="preserve"> </w:t>
      </w:r>
      <w:r>
        <w:t xml:space="preserve">— so a table added to the model appears without an edit. Where a well is entirely bulk-loaded it says so plainly rather than showing an empty box.</w:t>
      </w:r>
    </w:p>
    <w:p>
      <w:pPr>
        <w:pStyle w:val="BodyText"/>
      </w:pPr>
      <w:r>
        <w:t xml:space="preserve">That footer is the thing the scout ticket cannot otherwise answer:</w:t>
      </w:r>
      <w:r>
        <w:t xml:space="preserve"> </w:t>
      </w:r>
      <w:r>
        <w:rPr>
          <w:bCs/>
          <w:b/>
        </w:rPr>
        <w:t xml:space="preserve">is any of this traceable, and to what.</w:t>
      </w:r>
      <w:r>
        <w:t xml:space="preserve"> </w:t>
      </w:r>
      <w:r>
        <w:t xml:space="preserve">It never raises; a ticket that failed to render because its footer couldn’t count something would be a poor trade.</w:t>
      </w:r>
    </w:p>
    <w:p>
      <w:pPr>
        <w:pStyle w:val="BodyText"/>
      </w:pPr>
      <w:r>
        <w:t xml:space="preserve">From there,</w:t>
      </w:r>
      <w:r>
        <w:t xml:space="preserve"> </w:t>
      </w:r>
      <w:r>
        <w:rPr>
          <w:bCs/>
          <w:b/>
        </w:rP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Export</w:t>
      </w:r>
      <w:r>
        <w:t xml:space="preserve"> </w:t>
      </w:r>
      <w:r>
        <w:t xml:space="preserve">are sub-pages reached from the results panel.</w:t>
      </w:r>
    </w:p>
    <w:p>
      <w:r>
        <w:pict>
          <v:rect style="width:0;height:1.5pt" o:hralign="center" o:hrstd="t" o:hr="t"/>
        </w:pict>
      </w:r>
    </w:p>
    <w:bookmarkEnd w:id="28"/>
    <w:bookmarkStart w:id="29" w:name="documents-on-the-map"/>
    <w:p>
      <w:pPr>
        <w:pStyle w:val="Heading2"/>
      </w:pPr>
      <w:r>
        <w:t xml:space="preserve">6 · Documents on the map</w:t>
      </w:r>
    </w:p>
    <w:p>
      <w:pPr>
        <w:pStyle w:val="FirstParagraph"/>
      </w:pPr>
      <w:r>
        <w:t xml:space="preserve">A second page maps wells that have documents, one marker per</w:t>
      </w:r>
      <w:r>
        <w:t xml:space="preserve"> </w:t>
      </w:r>
      <w:r>
        <w:rPr>
          <w:bCs/>
          <w:b/>
        </w:rPr>
        <w:t xml:space="preserve">well</w:t>
      </w:r>
      <w:r>
        <w:t xml:space="preserve"> </w:t>
      </w:r>
      <w:r>
        <w:t xml:space="preserve">with an aggregated count — not one marker per file, since several documents attach to one well.</w:t>
      </w:r>
    </w:p>
    <w:p>
      <w:pPr>
        <w:pStyle w:val="BodyText"/>
      </w:pPr>
      <w:r>
        <w:rPr>
          <w:bCs/>
          <w:b/>
        </w:rPr>
        <w:t xml:space="preserve">Position comes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dv_well</w:t>
      </w:r>
      <w:r>
        <w:rPr>
          <w:bCs/>
          <w:b/>
        </w:rPr>
        <w:t xml:space="preserve">, not from the document.</w:t>
      </w:r>
      <w:r>
        <w:t xml:space="preserve"> </w:t>
      </w:r>
      <w:r>
        <w:t xml:space="preserve">Perry’s reasoning: multiple documents attach to a well, and</w:t>
      </w:r>
      <w:r>
        <w:t xml:space="preserve"> </w:t>
      </w:r>
      <w:r>
        <w:rPr>
          <w:rStyle w:val="VerbatimChar"/>
        </w:rPr>
        <w:t xml:space="preserve">dv_well</w:t>
      </w:r>
      <w:r>
        <w:t xml:space="preserve"> </w:t>
      </w:r>
      <w:r>
        <w:t xml:space="preserve">is the consolidated table populated from every source, so the location comes from whichever source carried one. The per-file header remains a fallback, which keeps the original promise that a well appears as soon as it is catalogued.</w:t>
      </w:r>
    </w:p>
    <w:p>
      <w:pPr>
        <w:pStyle w:val="BodyText"/>
      </w:pPr>
      <w:r>
        <w:t xml:space="preserve">The accepted trade: a document matched to a well that never promoted won’t appear.</w:t>
      </w:r>
    </w:p>
    <w:p>
      <w:pPr>
        <w:pStyle w:val="BodyText"/>
      </w:pPr>
      <w:r>
        <w:t xml:space="preserve">Two joins in that page were quietly wrong and are worth recording as a pattern. The well key had to become</w:t>
      </w:r>
      <w:r>
        <w:t xml:space="preserve"> </w:t>
      </w:r>
      <w:r>
        <w:rPr>
          <w:rStyle w:val="VerbatimChar"/>
        </w:rPr>
        <w:t xml:space="preserve">COALESCE(GLOBAL_FILE_CATALOG.MATCHED_UWI, header.UWI)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MATCHED_UWI</w:t>
      </w:r>
      <w:r>
        <w:t xml:space="preserve"> </w:t>
      </w:r>
      <w:r>
        <w:t xml:space="preserve">is what the assignment panel and the Excel round-trip write, so</w:t>
      </w:r>
      <w:r>
        <w:t xml:space="preserve"> </w:t>
      </w:r>
      <w:r>
        <w:rPr>
          <w:bCs/>
          <w:b/>
        </w:rPr>
        <w:t xml:space="preserve">every manually assigned UWI was invisible</w:t>
      </w:r>
      <w:r>
        <w:t xml:space="preserve">. And the header join had to become a LEFT join, because a file can carry a matched UWI without ever getting a header row.</w:t>
      </w:r>
    </w:p>
    <w:p>
      <w:pPr>
        <w:pStyle w:val="BodyText"/>
      </w:pPr>
      <w:r>
        <w:t xml:space="preserve">The companion fix is the one that makes it correct rather than merely fuller: the per-well document list keyed on the</w:t>
      </w:r>
      <w:r>
        <w:t xml:space="preserve"> </w:t>
      </w:r>
      <w:r>
        <w:rPr>
          <w:iCs/>
          <w:i/>
        </w:rPr>
        <w:t xml:space="preserve">header’s</w:t>
      </w:r>
      <w:r>
        <w:t xml:space="preserve"> </w:t>
      </w:r>
      <w:r>
        <w:t xml:space="preserve">UWI, so a well plotted from</w:t>
      </w:r>
      <w:r>
        <w:t xml:space="preserve"> </w:t>
      </w:r>
      <w:r>
        <w:rPr>
          <w:rStyle w:val="VerbatimChar"/>
        </w:rPr>
        <w:t xml:space="preserve">MATCHED_UWI</w:t>
      </w:r>
      <w:r>
        <w:t xml:space="preserve"> </w:t>
      </w:r>
      <w:r>
        <w:t xml:space="preserve">would have opened an empty document table. Both now share one key expression, defined once precisely so they cannot drift.</w:t>
      </w:r>
    </w:p>
    <w:p>
      <w:pPr>
        <w:pStyle w:val="BodyText"/>
      </w:pPr>
      <w:r>
        <w:rPr>
          <w:bCs/>
          <w:b/>
        </w:rPr>
        <w:t xml:space="preserve">The join needs a cast.</w:t>
      </w:r>
      <w:r>
        <w:t xml:space="preserve"> </w:t>
      </w:r>
      <w:r>
        <w:rPr>
          <w:rStyle w:val="VerbatimChar"/>
        </w:rPr>
        <w:t xml:space="preserve">dv_well.uwi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char(14)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MATCHED_UWI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nvarchar</w:t>
      </w:r>
      <w:r>
        <w:t xml:space="preserve">; without</w:t>
      </w:r>
      <w:r>
        <w:t xml:space="preserve"> </w:t>
      </w:r>
      <w:r>
        <w:rPr>
          <w:rStyle w:val="VerbatimChar"/>
        </w:rPr>
        <w:t xml:space="preserve">CAST(... AS char(14))</w:t>
      </w:r>
      <w:r>
        <w:t xml:space="preserve"> </w:t>
      </w:r>
      <w:r>
        <w:t xml:space="preserve">SQL Server promotes char to nvarchar and the index goes unusable — the same trap that took a gold join from 3.71s to 0.03s once fixed.</w:t>
      </w:r>
    </w:p>
    <w:p>
      <w:r>
        <w:pict>
          <v:rect style="width:0;height:1.5pt" o:hralign="center" o:hrstd="t" o:hr="t"/>
        </w:pict>
      </w:r>
    </w:p>
    <w:bookmarkEnd w:id="29"/>
    <w:bookmarkStart w:id="30" w:name="what-it-refuses-to-draw"/>
    <w:p>
      <w:pPr>
        <w:pStyle w:val="Heading2"/>
      </w:pPr>
      <w:r>
        <w:t xml:space="preserve">7 · What it refuses to draw</w:t>
      </w:r>
    </w:p>
    <w:p>
      <w:pPr>
        <w:pStyle w:val="FirstParagraph"/>
      </w:pPr>
      <w:r>
        <w:rPr>
          <w:bCs/>
          <w:b/>
        </w:rPr>
        <w:t xml:space="preserve">A well with no survey gets no path.</w:t>
      </w:r>
      <w:r>
        <w:t xml:space="preserve"> </w:t>
      </w:r>
      <w:r>
        <w:t xml:space="preserve">Absent geometry is not straight geometry, and an invented curve on a map gets believed.</w:t>
      </w:r>
    </w:p>
    <w:p>
      <w:pPr>
        <w:pStyle w:val="BodyText"/>
      </w:pPr>
      <w:r>
        <w:rPr>
          <w:bCs/>
          <w:b/>
        </w:rPr>
        <w:t xml:space="preserve">A well whose path would be a dot doesn’t get a line.</w:t>
      </w:r>
      <w:r>
        <w:t xml:space="preserve"> </w:t>
      </w:r>
      <w:r>
        <w:t xml:space="preserve">Below a minimum closure — about 500 ft — a near-vertical well is a point at map scale, and a drawn line implies a shape nobody can see. Those wells still appear as points. Nothing is lost; a misleading rendering is avoided.</w:t>
      </w:r>
    </w:p>
    <w:p>
      <w:pPr>
        <w:pStyle w:val="BodyText"/>
      </w:pPr>
      <w:r>
        <w:rPr>
          <w:bCs/>
          <w:b/>
        </w:rPr>
        <w:t xml:space="preserve">A well with no coordinate never reaches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dv_well</w:t>
      </w:r>
      <w:r>
        <w:rPr>
          <w:bCs/>
          <w:b/>
        </w:rPr>
        <w:t xml:space="preserve">.</w:t>
      </w:r>
      <w:r>
        <w:t xml:space="preserve"> </w:t>
      </w:r>
      <w:r>
        <w:t xml:space="preserve">That’s promote’s gate rather than the map’s, but it’s why</w:t>
      </w:r>
      <w:r>
        <w:t xml:space="preserve"> </w:t>
      </w:r>
      <w:r>
        <w:t xml:space="preserve">“</w:t>
      </w:r>
      <w:r>
        <w:t xml:space="preserve">every well in the database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every well the map can draw</w:t>
      </w:r>
      <w:r>
        <w:t xml:space="preserve">”</w:t>
      </w:r>
      <w:r>
        <w:t xml:space="preserve"> </w:t>
      </w:r>
      <w:r>
        <w:t xml:space="preserve">are the same set — there is no silent population of invisible rows.</w:t>
      </w:r>
    </w:p>
    <w:p>
      <w:r>
        <w:pict>
          <v:rect style="width:0;height:1.5pt" o:hralign="center" o:hrstd="t" o:hr="t"/>
        </w:pict>
      </w:r>
    </w:p>
    <w:bookmarkEnd w:id="30"/>
    <w:bookmarkStart w:id="31" w:name="the-traps"/>
    <w:p>
      <w:pPr>
        <w:pStyle w:val="Heading2"/>
      </w:pPr>
      <w:r>
        <w:t xml:space="preserve">8 · The traps</w:t>
      </w:r>
    </w:p>
    <w:p>
      <w:pPr>
        <w:pStyle w:val="FirstParagraph"/>
      </w:pPr>
      <w:r>
        <w:rPr>
          <w:bCs/>
          <w:b/>
        </w:rPr>
        <w:t xml:space="preserve">Streamlit discards a widget’s value when the widget stops rendering.</w:t>
      </w:r>
      <w:r>
        <w:t xml:space="preserve"> </w:t>
      </w:r>
      <w:r>
        <w:t xml:space="preserve">A control gated on a non-empty result loses its state whenever the query returns nothing and reappears at index 0 — which reads as</w:t>
      </w:r>
      <w:r>
        <w:t xml:space="preserve"> </w:t>
      </w:r>
      <w:r>
        <w:t xml:space="preserve">“</w:t>
      </w:r>
      <w:r>
        <w:t xml:space="preserve">the filter reset itself</w:t>
      </w:r>
      <w:r>
        <w:t xml:space="preserve">”</w:t>
      </w:r>
      <w:r>
        <w:t xml:space="preserve"> </w:t>
      </w:r>
      <w:r>
        <w:t xml:space="preserve">and hides the real failure upstream. Give such controls a fallback so they degrade instead of vanishing.</w:t>
      </w:r>
    </w:p>
    <w:p>
      <w:pPr>
        <w:pStyle w:val="BodyText"/>
      </w:pPr>
      <w:r>
        <w:rPr>
          <w:bCs/>
          <w:b/>
        </w:rPr>
        <w:t xml:space="preserve">Action widgets cannot have their value set.</w:t>
      </w:r>
      <w:r>
        <w:t xml:space="preserve"> </w:t>
      </w:r>
      <w:r>
        <w:t xml:space="preserve">Sub-pages keep state alive across a page switch by self-assigning every key — standard, and correct for inputs. It is</w:t>
      </w:r>
      <w:r>
        <w:t xml:space="preserve"> </w:t>
      </w:r>
      <w:r>
        <w:rPr>
          <w:iCs/>
          <w:i/>
        </w:rPr>
        <w:t xml:space="preserve">invalid</w:t>
      </w:r>
      <w:r>
        <w:t xml:space="preserve"> </w:t>
      </w:r>
      <w:r>
        <w:t xml:space="preserve">for buttons, downloads and uploaders, and</w:t>
      </w:r>
      <w:r>
        <w:t xml:space="preserve"> </w:t>
      </w:r>
      <w:r>
        <w:rPr>
          <w:bCs/>
          <w:b/>
        </w:rPr>
        <w:t xml:space="preserve">the error surfaces when the widget is created, on a later run, on a different page</w:t>
      </w:r>
      <w:r>
        <w:t xml:space="preserve">. Returning from Export poisoned a button on the map. A name-by-name deny list could not hold; the test is now on how keys are named, and the file is swept in both directions after any new button — 20 action keys with none uncaught, 29 input keys with none wrongly skipped.</w:t>
      </w:r>
    </w:p>
    <w:p>
      <w:pPr>
        <w:pStyle w:val="BodyText"/>
      </w:pPr>
      <w:r>
        <w:rPr>
          <w:bCs/>
          <w:b/>
        </w:rPr>
        <w:t xml:space="preserve">Trace outward through every enclosing condition.</w:t>
      </w:r>
      <w:r>
        <w:t xml:space="preserve"> </w:t>
      </w:r>
      <w:r>
        <w:t xml:space="preserve">A geography layer was added correctly and drew nothing, because the block containing it was gated on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layer being switched on. Same class as a reset button placed inside a collapsed expander that only rendered in one mode. On a page this size,</w:t>
      </w:r>
      <w:r>
        <w:t xml:space="preserve"> </w:t>
      </w:r>
      <w:r>
        <w:t xml:space="preserve">“</w:t>
      </w:r>
      <w:r>
        <w:t xml:space="preserve">I put it next to X</w:t>
      </w:r>
      <w:r>
        <w:t xml:space="preserve">”</w:t>
      </w:r>
      <w:r>
        <w:t xml:space="preserve"> </w:t>
      </w:r>
      <w:r>
        <w:t xml:space="preserve">is only as good as X’s own visibility.</w:t>
      </w:r>
    </w:p>
    <w:p>
      <w:pPr>
        <w:pStyle w:val="BodyText"/>
      </w:pPr>
      <w:r>
        <w:rPr>
          <w:bCs/>
          <w:b/>
        </w:rPr>
        <w:t xml:space="preserve">Expanders do not nest.</w:t>
      </w:r>
      <w:r>
        <w:t xml:space="preserve"> </w:t>
      </w:r>
      <w:r>
        <w:t xml:space="preserve">A block already inside one needs no second disclosure — the parent is the disclosure.</w:t>
      </w:r>
    </w:p>
    <w:p>
      <w:pPr>
        <w:pStyle w:val="BodyText"/>
      </w:pPr>
      <w:r>
        <w:rPr>
          <w:rStyle w:val="VerbatimChar"/>
          <w:bCs/>
          <w:b/>
        </w:rPr>
        <w:t xml:space="preserve">bcp</w:t>
      </w:r>
      <w:r>
        <w:rPr>
          <w:bCs/>
          <w:b/>
        </w:rPr>
        <w:t xml:space="preserve"> </w:t>
      </w:r>
      <w:r>
        <w:rPr>
          <w:bCs/>
          <w:b/>
        </w:rPr>
        <w:t xml:space="preserve">is how the page reads wells, not a different source.</w:t>
      </w:r>
      <w:r>
        <w:t xml:space="preserve"> </w:t>
      </w:r>
      <w:r>
        <w:t xml:space="preserve">The query is dumped to CSV by the</w:t>
      </w:r>
      <w:r>
        <w:t xml:space="preserve"> </w:t>
      </w:r>
      <w:r>
        <w:rPr>
          <w:rStyle w:val="VerbatimChar"/>
        </w:rPr>
        <w:t xml:space="preserve">bcp</w:t>
      </w:r>
      <w:r>
        <w:t xml:space="preserve"> </w:t>
      </w:r>
      <w:r>
        <w:t xml:space="preserve">utility and parsed</w:t>
      </w:r>
      <w:r>
        <w:t xml:space="preserve"> </w:t>
      </w:r>
      <w:r>
        <w:rPr>
          <w:bCs/>
          <w:b/>
        </w:rPr>
        <w:t xml:space="preserve">positionally</w:t>
      </w:r>
      <w:r>
        <w:t xml:space="preserve"> </w:t>
      </w:r>
      <w:r>
        <w:t xml:space="preserve">against a column list, with no header row — so a mismatch between the SELECT and that list would silently misname every column from the mismatch onward.</w:t>
      </w:r>
    </w:p>
    <w:p>
      <w:pPr>
        <w:pStyle w:val="BodyText"/>
      </w:pPr>
      <w:r>
        <w:rPr>
          <w:bCs/>
          <w:b/>
        </w:rPr>
        <w:t xml:space="preserve">Three layers depend on shapely and all degrade silently.</w:t>
      </w:r>
      <w:r>
        <w:t xml:space="preserve"> </w:t>
      </w:r>
      <w:r>
        <w:t xml:space="preserve">2D zones and geographic entities return nothing; 3D falls back to bounding boxes. Check the library is installed before diagnosing a blank layer as a data problem.</w:t>
      </w:r>
    </w:p>
    <w:p>
      <w:pPr>
        <w:pStyle w:val="BodyText"/>
      </w:pPr>
      <w:r>
        <w:rPr>
          <w:bCs/>
          <w:b/>
        </w:rPr>
        <w:t xml:space="preserve">A registry nothing reads is worse than no registry.</w:t>
      </w:r>
      <w:r>
        <w:t xml:space="preserve"> </w:t>
      </w:r>
      <w:r>
        <w:t xml:space="preserve">A layer table survived after its controls were removed, so registering a new layer there did nothing and produced a confidently wrong diagnosis. Dead code that</w:t>
      </w:r>
      <w:r>
        <w:t xml:space="preserve"> </w:t>
      </w:r>
      <w:r>
        <w:rPr>
          <w:iCs/>
          <w:i/>
        </w:rPr>
        <w:t xml:space="preserve">looks</w:t>
      </w:r>
      <w:r>
        <w:t xml:space="preserve"> </w:t>
      </w:r>
      <w:r>
        <w:t xml:space="preserve">live costs more than dead code that looks dead.</w:t>
      </w:r>
    </w:p>
    <w:p>
      <w:r>
        <w:pict>
          <v:rect style="width:0;height:1.5pt" o:hralign="center" o:hrstd="t" o:hr="t"/>
        </w:pict>
      </w:r>
    </w:p>
    <w:bookmarkEnd w:id="31"/>
    <w:bookmarkStart w:id="32" w:name="open-items"/>
    <w:p>
      <w:pPr>
        <w:pStyle w:val="Heading2"/>
      </w:pPr>
      <w:r>
        <w:t xml:space="preserve">9 · Open items</w:t>
      </w:r>
    </w:p>
    <w:p>
      <w:pPr>
        <w:pStyle w:val="FirstParagraph"/>
      </w:pPr>
      <w:r>
        <w:rPr>
          <w:bCs/>
          <w:b/>
        </w:rPr>
        <w:t xml:space="preserve">The map can point at a different database from the rest of the app.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bcp</w:t>
      </w:r>
      <w:r>
        <w:t xml:space="preserve"> </w:t>
      </w:r>
      <w:r>
        <w:t xml:space="preserve">path reads a session value seeded from a module constant rather than from the live connection, so reconnecting mid-session leaves the map pointed elsewhere. The fix is to seed it from the connection.</w:t>
      </w:r>
    </w:p>
    <w:p>
      <w:pPr>
        <w:pStyle w:val="BodyText"/>
      </w:pPr>
      <w:r>
        <w:rPr>
          <w:bCs/>
          <w:b/>
        </w:rPr>
        <w:t xml:space="preserve">Cached queries don’t know about a load.</w:t>
      </w:r>
      <w:r>
        <w:t xml:space="preserve"> </w:t>
      </w:r>
      <w:r>
        <w:t xml:space="preserve">Well queries cache for 10 and 60 minutes, and loading or promoting wells doesn’t invalidate them — so the map can serve a stale set for up to ten minutes after a load. The cache-busting parameter exists and is currently a constant; a session version bumped by the loader would close it.</w:t>
      </w:r>
    </w:p>
    <w:p>
      <w:pPr>
        <w:pStyle w:val="BodyText"/>
      </w:pPr>
      <w:r>
        <w:rPr>
          <w:bCs/>
          <w:b/>
        </w:rPr>
        <w:t xml:space="preserve">The AI filter’s match count is counted against loaded wells only</w:t>
      </w:r>
      <w:r>
        <w:t xml:space="preserve">, so with shadow wells on the map the panel’s</w:t>
      </w:r>
      <w:r>
        <w:t xml:space="preserve"> </w:t>
      </w:r>
      <w:r>
        <w:t xml:space="preserve">“</w:t>
      </w:r>
      <w:r>
        <w:t xml:space="preserve">N of M</w:t>
      </w:r>
      <w:r>
        <w:t xml:space="preserve">”</w:t>
      </w:r>
      <w:r>
        <w:t xml:space="preserve"> </w:t>
      </w:r>
      <w:r>
        <w:t xml:space="preserve">can read lower than what is drawn. Not wrong, but worth knowing before it’s reported as a new bug.</w:t>
      </w:r>
    </w:p>
    <w:p>
      <w:pPr>
        <w:pStyle w:val="BodyText"/>
      </w:pPr>
      <w:r>
        <w:rPr>
          <w:bCs/>
          <w:b/>
        </w:rPr>
        <w:t xml:space="preserve">Two seismic surveys draw in no layer at all</w:t>
      </w:r>
      <w:r>
        <w:t xml:space="preserve"> </w:t>
      </w:r>
      <w:r>
        <w:t xml:space="preserve">— their type is neither 2D nor 3D, and both layers filter on exactly those. Real surveys the classifier didn’t type; they need an unclassified bucket.</w:t>
      </w:r>
    </w:p>
    <w:p>
      <w:pPr>
        <w:pStyle w:val="BodyText"/>
      </w:pPr>
      <w:r>
        <w:rPr>
          <w:bCs/>
          <w:b/>
        </w:rPr>
        <w:t xml:space="preserve">2D zones could use the real outlines</w:t>
      </w:r>
      <w:r>
        <w:t xml:space="preserve"> </w:t>
      </w:r>
      <w:r>
        <w:t xml:space="preserve">rather than hulling bounding boxes, which would follow the actual line corridors. Deliberately not done: the hull works, and dissolving hundreds of geometries per render is a real cost. Worth revisiting only if the blobs look too fat.</w:t>
      </w:r>
    </w:p>
    <w:p>
      <w:pPr>
        <w:pStyle w:val="BodyText"/>
      </w:pPr>
      <w:r>
        <w:rPr>
          <w:bCs/>
          <w:b/>
        </w:rPr>
        <w:t xml:space="preserve">One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MATCHED_UWI</w:t>
      </w:r>
      <w:r>
        <w:rPr>
          <w:bCs/>
          <w:b/>
        </w:rPr>
        <w:t xml:space="preserve"> </w:t>
      </w:r>
      <w:r>
        <w:rPr>
          <w:bCs/>
          <w:b/>
        </w:rPr>
        <w:t xml:space="preserve">per file</w:t>
      </w:r>
      <w:r>
        <w:t xml:space="preserve"> </w:t>
      </w:r>
      <w:r>
        <w:t xml:space="preserve">means a shapefile containing many wells surfaces only its representative well on the documents map, even though capture fanned all of them into</w:t>
      </w:r>
      <w:r>
        <w:t xml:space="preserve"> </w:t>
      </w:r>
      <w:r>
        <w:rPr>
          <w:rStyle w:val="VerbatimChar"/>
        </w:rPr>
        <w:t xml:space="preserve">dv_well</w:t>
      </w:r>
      <w:r>
        <w:t xml:space="preserve">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1F3864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1F3864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E5496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0404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2026-08-09T14:30:17Z</dcterms:created>
  <dcterms:modified xsi:type="dcterms:W3CDTF">2026-08-09T14:30:17Z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