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baseline and agentic pipelines using open-weight LLMs and DeepEval metrics</w:t>
      </w:r>
    </w:p>
    <w:p>
      <w:pPr>
        <w:jc w:val="center"/>
      </w:pPr>
      <w:r>
        <w:rPr>
          <w:b/>
        </w:rPr>
        <w:t>Prepared by:</w:t>
      </w:r>
      <w:r>
        <w:t xml:space="preserve"> Widianto Persadha, Heiko Sibberns, Mohammad S. Tariq, Bettina Wietzorek</w:t>
      </w:r>
    </w:p>
    <w:p>
      <w:pPr>
        <w:jc w:val="center"/>
      </w:pPr>
      <w:r>
        <w:rPr>
          <w:b/>
        </w:rPr>
        <w:t>Prepared for:</w:t>
      </w:r>
      <w:r>
        <w:t xml:space="preserve"> IEA R&amp;D Fund Call 4-5</w:t>
      </w:r>
    </w:p>
    <w:p>
      <w:pPr>
        <w:jc w:val="center"/>
      </w:pPr>
      <w:r>
        <w:rPr>
          <w:b/>
        </w:rPr>
        <w:t>Date:</w:t>
      </w:r>
      <w:r>
        <w:t xml:space="preserve"> June 2026</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The two pipelines were comparable in quality, and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§5.5 explains why tables in particular were deferred. The results are intended both as a benchmark and as the basis for a future production deployment.</w:t>
      </w:r>
    </w:p>
    <w:p>
      <w:pPr>
        <w:pStyle w:val="Heading2"/>
      </w:pPr>
      <w:r>
        <w:t>1.3 Motivations and Research Questions</w:t>
      </w:r>
    </w:p>
    <w:p>
      <w:r>
        <w:t>A locally-hosted RAG system could benefit IEA in three ways. We frame each not as a benefit to assert in advance but as a motivation drawn from the literature together with a question this study sets out to test with evidence.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§5.3.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§5.2 and §5.4.</w:t>
      </w:r>
    </w:p>
    <w:p>
      <w:r>
        <w:t>The third is privacy and control. Local deployment keeps all processing on-premises, which supports compliance and internal policy. The research question is whether an open, locally-deployable model can reach acceptable quality without a cloud service, tested in §6.1.3.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§5.4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since the model may not have encountered the documents during training,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 vector store (here, Chroma).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basic form, the most important parameter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 reliable judge removes genuine distractors while preserving the answer-bearing chunks. An unreliable judge causes harm, because the step can only remove chunks and cannot recover one that was wrongly discarded. When a chunk containing the answer is removed, recall decreases and no subsequent stage can compensate. §5.4 demonstrates that the lightweight grader incorporated into our first agentic pipeline discards answer-bearing chunks often enough that the correction step lowers answer quality rather than improving it.</w:t>
      </w:r>
    </w:p>
    <w:p>
      <w:pPr>
        <w:pStyle w:val="Heading2"/>
      </w:pPr>
      <w:r>
        <w:t>2.3 Hybrid Retrieval</w:t>
      </w:r>
    </w:p>
    <w:p>
      <w:r>
        <w:t>Dense retrieval, the cosine-similarity search described above, is effective at capturing semantic meaning. A query concerning _"young readers' attitudes toward books"_ will retrieve passages on reading motivation even when those exact words do not appear. However, since dense retrieval matches on meaning rather than word form, it may overlook the single literal term on which a question depends. Country names, study acronyms, and identifiers such as _"PIRLS"_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based only by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As a result, BM25 reliably locates the chunk that contains "Germany" or "plausible values," where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However, encoding the query and the chunks separately carries a limitation. Since the two are never processed together,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§6.1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§6.1.4,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In its baseline form the pipeline retrieves the top chunks by dense similarity alone; §6.1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This report evaluates three versions of the pipeline, and each is described by what it actually implements. The first, Advanced v1, performs neither per-sub-question re-retrieval nor reranking: its sub-questions reuse the original query's retrieved documents, and no reranker is integrated into the graph. Its only active post-retrieval step is a binary relevance grader run by a small </w:t>
      </w:r>
      <w:r>
        <w:rPr>
          <w:rFonts w:ascii="Consolas" w:hAnsi="Consolas"/>
          <w:sz w:val="20"/>
        </w:rPr>
        <w:t>gemma3:1b</w:t>
      </w:r>
      <w:r>
        <w:t xml:space="preserve"> model. Per-sub-question re-retrieval and reranking are added later, in the Advanced v2 and v3 iterations described in §6.2. Results are attributed to each version according to what it implements.</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§5.4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§6.1.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query's own documents; synthesis capped at 100 words</w:t>
            </w:r>
          </w:p>
        </w:tc>
        <w:tc>
          <w:tcPr>
            <w:tcW w:type="dxa" w:w="3120"/>
            <w:tcW w:w="3120" w:type="dxa"/>
          </w:tcPr>
          <w:p>
            <w:pPr>
              <w:spacing w:after="40"/>
            </w:pPr>
            <w:r/>
            <w:r>
              <w:rPr>
                <w:sz w:val="20"/>
              </w:rPr>
              <w:t>Evaluated; this is the initial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(§6.2)</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(§6.2); matches Basic (0.780 vs 0.774), does not surpass it</w:t>
            </w:r>
          </w:p>
        </w:tc>
      </w:tr>
    </w:tbl>
    <w:p>
      <w:pPr>
        <w:spacing w:after="80"/>
      </w:pPr>
    </w:p>
    <w:p>
      <w:r>
        <w:t>Each version is described above as it was actually built; the reasoning behind each change, and the evaluation results, are reported in §6.2.</w:t>
      </w:r>
    </w:p>
    <w:p>
      <w:pPr>
        <w:pStyle w:val="Heading1"/>
      </w:pPr>
      <w:r>
        <w:t>4. Experimental Setup</w:t>
      </w:r>
    </w:p>
    <w:p>
      <w:pPr>
        <w:pStyle w:val="Heading2"/>
      </w:pPr>
      <w:r>
        <w:t>4.1 Hardware</w:t>
      </w:r>
    </w:p>
    <w:p>
      <w:r>
        <w:t>The experiments were run on a workstation-class laptop: an Intel Core Ultra 9 (16 cores), 32 GB RAM, and an Intel Arc Pro 140T GPU (16 GB). We avoided cloud GPUs to keep the system offline and to test it under realistic local constraints. The response-time figures in this report are specific to this hardware, while the quality metrics (context precision and recall, faithfulness, and answer correctness) are hardware-independent. The deployment implications of running on a single machine are discussed in §7.2.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tries to avoid.</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We fixed a single generator for the controlled comparison and probed generator strength only at the extremes: a stronger open-source reasoning model, DeepSeek-R1 (8B) (DeepSeek-AI, 2025), and a strong closed model, gpt-5.4-mini. Gemma 3 (4B), a comparable mid-size open model, was not carried forward, because a second model of similar capability would add little to that design. For the controlled three-architecture comparison in §5 the generator is held fixed at llama3:8b so only the pipeline varies. The generator is then varied on its own in §6.1.3, applied to the best retrieval configuration. There, gpt-5.4-mini serves as an open-versus-closed benchmark to measure how much accuracy the privacy constraint costs.</w:t>
      </w:r>
    </w:p>
    <w:p>
      <w:r>
        <w:t>Two of the agentic pipelines use a second, smaller model as an internal grader that scores each retrieved chunk for relevance (§2.2). We use gemma3:1b for that role, since it runs once per chunk and should add little latency. However, §5.4 shows that this economy proves a poor trade-off on this corpus.</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which proved both slower and unreliable on a local judge. For latency, lower is better.</w:t>
      </w:r>
    </w:p>
    <w:p>
      <w:pPr>
        <w:pStyle w:val="Heading2"/>
      </w:pPr>
      <w:r>
        <w:t>4.4 Evaluation Dataset Construction</w:t>
      </w:r>
    </w:p>
    <w:p>
      <w:r>
        <w:t xml:space="preserve">The evaluation set is 195 question–answer pairs annotated with explicit human/synthetic provenance and held in </w:t>
      </w:r>
      <w:r>
        <w:rPr>
          <w:rFonts w:ascii="Consolas" w:hAnsi="Consolas"/>
          <w:sz w:val="20"/>
        </w:rPr>
        <w:t>datasets/revision/</w:t>
      </w:r>
      <w:r>
        <w:t>. These 195 are the items from an initial 300-item pool that both pipelines could complete; the rest were set aside because the advanced pipeline's outputs exceeded the judge's token limit. We use this selection because the full 300-item pool has a train/evaluation leakage problem (§6.1.4)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§5.2 and §5.3.</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§7 and recommend deliberately over-sampling reasoning-heavy methodological questions in any follow-up evaluation set.</w:t>
      </w:r>
    </w:p>
    <w:p>
      <w:pPr>
        <w:pStyle w:val="Heading1"/>
      </w:pPr>
      <w:r>
        <w:t>5. Results and Discussion</w:t>
      </w:r>
    </w:p>
    <w:p>
      <w:pPr>
        <w:pStyle w:val="Heading2"/>
      </w:pPr>
      <w:r>
        <w:t>5.1 Architecture Comparison</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4.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5.2 Metric-by-Metric Analysis</w:t>
      </w:r>
    </w:p>
    <w:p>
      <w:r>
        <w:t>On context precision and recall, the Basic pipeline retrieves focused, on-topic context, scoring 0.74 on precision and 0.80 on recall. Advanced v1 loses recall, dropping to 0.67, and Advanced v2 loses precision substantially, to 0.45. §5.4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§5.4 explains the ceiling, and §6.1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workstation-class laptop (Intel Arc Pro 140T). The API runs marked with an asterisk use hosted GPUs that are not comparable to the local runs.</w:t>
      </w:r>
    </w:p>
    <w:p>
      <w:pPr>
        <w:pStyle w:val="Heading2"/>
      </w:pPr>
      <w:r>
        <w:t>5.3 The Value of Retrieval: An Ablation Study</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5.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This is not true.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in the domain may do fine with the raw chunks, however non-experts need the synthesis. Measuring what the generator adds would require a concision or usability metric, not fact coverage alone (§7.3).</w:t>
      </w:r>
    </w:p>
    <w:p>
      <w:pPr>
        <w:pStyle w:val="Heading2"/>
      </w:pPr>
      <w:r>
        <w:t>5.4 Locating the Performance Bottlenecks</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(§6.1) recovers many of these rows by surfacing the exact gold chunk, and a stronger generator (§6.1.3) addresses the remainder.</w:t>
      </w:r>
    </w:p>
    <w:p>
      <w:r>
        <w:t>The practical implication is to invest in retrieval and orchestration, which §6.1 pursues and where the largest gains are found.</w:t>
      </w:r>
    </w:p>
    <w:p>
      <w:pPr>
        <w:pStyle w:val="Heading2"/>
      </w:pPr>
      <w:r>
        <w:t>5.5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§7.3 lists the specialized parsers we would evaluate next.</w:t>
      </w:r>
    </w:p>
    <w:p>
      <w:pPr>
        <w:pStyle w:val="Heading2"/>
      </w:pPr>
      <w:r>
        <w:t>5.6 The Deployed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provides the controls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_How are achievement items arranged in PIRLS 2021 assessments, and how are they linked for reporting proficiency?_</w:t>
      </w:r>
    </w:p>
    <w:p>
      <w:r>
        <w:rPr>
          <w:b/>
        </w:rPr>
        <w:t>Answer (llama3:8b).</w:t>
      </w:r>
      <w:r>
        <w:t xml:space="preserve"> _Achievement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reported._</w:t>
      </w:r>
    </w:p>
    <w:p>
      <w:r>
        <w:rPr>
          <w:b/>
        </w:rPr>
        <w:t>Top source chunk (one of the four shown to the user).</w:t>
      </w:r>
      <w:r>
        <w:t xml:space="preserve"> _"…these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2019)._</w:t>
      </w:r>
    </w:p>
    <w:p>
      <w:r>
        <w:rPr>
          <w:b/>
        </w:rPr>
        <w:t>Retrieval and timing.</w:t>
      </w:r>
      <w:r>
        <w:t xml:space="preserve"> Four chunks retrieved; answered in about 24 seconds on the workstation-class laptop. The judge scored the answer 1.00 on answer correctness and 1.00 on faithfulness, and every claim is traceable to the source chunk it came from. This is a methodological "how" question, the harder and under-sampled category (§4.4), yet the answer is concise and fully grounded in the retrieved source.</w:t>
      </w:r>
    </w:p>
    <w:p>
      <w:pPr>
        <w:pStyle w:val="Heading1"/>
      </w:pPr>
      <w:r>
        <w:t>6. System Improvements</w:t>
      </w:r>
    </w:p>
    <w:p>
      <w:pPr>
        <w:pStyle w:val="Heading2"/>
      </w:pPr>
      <w:r>
        <w:t>6.1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6.1.1 Reranking</w:t>
      </w:r>
    </w:p>
    <w:p>
      <w:r>
        <w:t>Retrieving the top 20 candidates and re-scoring them with a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w:t>
      </w:r>
    </w:p>
    <w:p>
      <w:pPr>
        <w:spacing w:before="120" w:after="40"/>
        <w:jc w:val="center"/>
      </w:pPr>
      <w:r>
        <w:drawing>
          <wp:inline xmlns:a="http://schemas.openxmlformats.org/drawingml/2006/main" xmlns:pic="http://schemas.openxmlformats.org/drawingml/2006/picture">
            <wp:extent cx="5303520" cy="3598817"/>
            <wp:docPr id="13" name="Picture 13"/>
            <wp:cNvGraphicFramePr>
              <a:graphicFrameLocks noChangeAspect="1"/>
            </wp:cNvGraphicFramePr>
            <a:graphic>
              <a:graphicData uri="http://schemas.openxmlformats.org/drawingml/2006/picture">
                <pic:pic>
                  <pic:nvPicPr>
                    <pic:cNvPr id="0" name="fig5_rerank_worstcase.png"/>
                    <pic:cNvPicPr/>
                  </pic:nvPicPr>
                  <pic:blipFill>
                    <a:blip r:embed="rId22"/>
                    <a:stretch>
                      <a:fillRect/>
                    </a:stretch>
                  </pic:blipFill>
                  <pic:spPr>
                    <a:xfrm>
                      <a:off x="0" y="0"/>
                      <a:ext cx="5303520" cy="3598817"/>
                    </a:xfrm>
                    <a:prstGeom prst="rect"/>
                  </pic:spPr>
                </pic:pic>
              </a:graphicData>
            </a:graphic>
          </wp:inline>
        </w:drawing>
      </w:r>
    </w:p>
    <w:p>
      <w:pPr>
        <w:jc w:val="center"/>
      </w:pPr>
      <w:r>
        <w:rPr>
          <w:i/>
          <w:color w:val="555555"/>
          <w:sz w:val="19"/>
        </w:rPr>
        <w:t>Figure 13. The effect of reranking on the 40 worst-retrieval rows: mean precision and answer correctness both rise substantially, which is where the overall gain comes from.</w:t>
      </w:r>
    </w:p>
    <w:p>
      <w:pPr>
        <w:pStyle w:val="Heading3"/>
      </w:pPr>
      <w:r>
        <w:t>6.1.2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6.1.3 Generator Strength: Open vs Closed</w:t>
      </w:r>
    </w:p>
    <w:p>
      <w:r>
        <w:t>With the best retrieval held fixed, varying the generator constitutes a genuine, additive second lever.</w:t>
      </w:r>
    </w:p>
    <w:p>
      <w:r>
        <w:rPr>
          <w:b/>
        </w:rPr>
        <w:t>Table 6.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6.1.4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and because hybrid retrieval (§6.1.2) already covers a dense encoder's exact-term weakness, swapping it is a low priority. Finally, the initial 300-item pool fully contains the 195 evaluation items, so the evaluation set is used unchanged throughout and fine-tuning is not a near-term lever. Appendix A gives the chunking, embedding, and data-leakage specifics.</w:t>
      </w:r>
    </w:p>
    <w:p>
      <w:pPr>
        <w:pStyle w:val="Heading2"/>
      </w:pPr>
      <w:r>
        <w:t>6.2 Revising the Advanced Architecture</w:t>
      </w:r>
    </w:p>
    <w:p>
      <w:r>
        <w:t>Advanced v3 targets the two failures diagnosed in §5.4: v1's grader, which drops answer-bearing chunks and collapses recall, and v2's per-sub-question retrieval, which adds off-topic chunks and collapses precision. The problem is not decomposition itself but how these two versions implement it.</w:t>
      </w:r>
    </w:p>
    <w:p>
      <w:r>
        <w:t>Building on the best retriever from §6.1,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7.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model, Advanced v3 reaches an answer correctness of 0.780. That is effectively identical to the Basic pipeline on the same generator and retriever, which scores 0.774 (§6.1.3); the 0.006 gap is well within run-to-run variation. Advanced v3 also comes at higher latency, about 9.9 against 7.9 seconds per query, and materially more engineering complexity. The four fixes achieved precisely what §5.4 predicted: closing the recall and precision gap between v1's grader and v2's per-sub-question retrieval raised the agentic pipeline from a net-negative architecture to parity with Basic. However, they did not surpass it. The interpretation is consistent with the rest of the report. Once retrieval is fixed with hybrid fusion and reranking, the system is generation-bound, and the agentic orchestration adds cost without adding accuracy on this corpus. We therefore continue to recommend Basic RAG for deployment. The full experiment matrix is in Appendix A.</w:t>
      </w:r>
    </w:p>
    <w:p>
      <w:pPr>
        <w:pStyle w:val="Heading1"/>
      </w:pPr>
      <w:r>
        <w:t>7. Recommendations and Future Work</w:t>
      </w:r>
    </w:p>
    <w:p>
      <w:pPr>
        <w:pStyle w:val="Heading2"/>
      </w:pPr>
      <w:r>
        <w:t>7.1 Recommended Deployment</w:t>
      </w:r>
    </w:p>
    <w:p>
      <w:r>
        <w:t>We recommend deploying Basic RAG with hybrid (BM25 plus dense) retrieval and cross-encoder reranking, using the local open llama3:8b generator as the private default. That configuration scores 0.689 on answer correctness and returns an answer in roughly 20 seconds on the workstation-class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4" name="Picture 14"/>
            <wp:cNvGraphicFramePr>
              <a:graphicFrameLocks noChangeAspect="1"/>
            </wp:cNvGraphicFramePr>
            <a:graphic>
              <a:graphicData uri="http://schemas.openxmlformats.org/drawingml/2006/picture">
                <pic:pic>
                  <pic:nvPicPr>
                    <pic:cNvPr id="0" name="fig_recommended.png"/>
                    <pic:cNvPicPr/>
                  </pic:nvPicPr>
                  <pic:blipFill>
                    <a:blip r:embed="rId23"/>
                    <a:stretch>
                      <a:fillRect/>
                    </a:stretch>
                  </pic:blipFill>
                  <pic:spPr>
                    <a:xfrm>
                      <a:off x="0" y="0"/>
                      <a:ext cx="4389120" cy="3907733"/>
                    </a:xfrm>
                    <a:prstGeom prst="rect"/>
                  </pic:spPr>
                </pic:pic>
              </a:graphicData>
            </a:graphic>
          </wp:inline>
        </w:drawing>
      </w:r>
    </w:p>
    <w:p>
      <w:pPr>
        <w:jc w:val="center"/>
      </w:pPr>
      <w:r>
        <w:rPr>
          <w:i/>
          <w:color w:val="555555"/>
          <w:sz w:val="19"/>
        </w:rPr>
        <w:t>Figure 14.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(§6.1).</w:t>
      </w:r>
    </w:p>
    <w:p>
      <w:r>
        <w:t>Figure 14 shows the pipeline. Each query runs through two retrievers in parallel: BM25 for exact terms such as country names and study acronyms, and a dense embedding model for semantic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§6.1. Every stage runs on local hardware, so no query or document leaves the premises.</w:t>
      </w:r>
    </w:p>
    <w:p>
      <w:r>
        <w:t>As §6.2 concluded, the agentic pipeline is not recommended for deployment. The closed gpt-5.4-mini model should be offered only as an optional higher-accuracy tier for non-sensitive queries.</w:t>
      </w:r>
    </w:p>
    <w:p>
      <w:pPr>
        <w:pStyle w:val="Heading2"/>
      </w:pPr>
      <w:r>
        <w:t>7.2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centralizes index updates and it could host a larger local model than a laptop can, which would help address the sub-10B accuracy ceiling. The cloud closed-model tier from §6.1.3 is reserved for non-sensitive queries.</w:t>
      </w:r>
    </w:p>
    <w:p>
      <w:pPr>
        <w:pStyle w:val="Heading2"/>
      </w:pPr>
      <w:r>
        <w:t>7.3 Future Work</w:t>
      </w:r>
    </w:p>
    <w:p>
      <w:r>
        <w:t>These findings point to several next steps.</w:t>
      </w:r>
    </w:p>
    <w:p>
      <w:r>
        <w:t>The most important is human-expert evaluation. Subject-matter experts should grade a representative subset, both to calibrate the LLM judge and to test whether a given score is good enough for professional use. One observation lessens the concern in the meantime: the best configuration scores 0.774 on answer correctness and 0.865 on precision, both well clear of the 0.5 adequacy mark. A formal expert study remains the right next step.</w:t>
      </w:r>
    </w:p>
    <w:p>
      <w:r>
        <w:t>The evaluation set also needs more reasoning-heavy questions. It is currently about 68% fact-retrieval and under-samples methodological "why and how" questions (§4.4). A follow-up evaluation set should include more questions on sampling design, weighting, and plausible values.</w:t>
      </w:r>
    </w:p>
    <w:p>
      <w:r>
        <w:t>Retrieval can likely be improved further. Contextual retrieval (Anthropic, 2024) prepends a short LLM-generated summary to each chunk before embedding, so the chunk keeps the document context that plain chunking removes. Anthropic reports that this cuts retrieval failures substantially. It applies on top of the recommended hybrid-plus-rerank stack and costs only a one-time indexing pass with the local model.</w:t>
      </w:r>
    </w:p>
    <w:p>
      <w:r>
        <w:t>Three engineering directions would also help:</w:t>
      </w:r>
    </w:p>
    <w:p>
      <w:pPr>
        <w:pStyle w:val="ListBullet"/>
      </w:pPr>
      <w:r>
        <w:t>A concision or usability metric, because the current fact-coverage metric rewards a raw chunk dump as highly as a concise answer and cannot credit what the generator adds (§5.3).</w:t>
      </w:r>
    </w:p>
    <w:p>
      <w:pPr>
        <w:pStyle w:val="ListBullet"/>
      </w:pPr>
      <w:r>
        <w:t>High-fidelity table extraction, using specialized parsers (Docling, Auer et al., 2024; Marker; PaddleOCR's PP-StructureV2, Li et al., 2022) or vision-based RAG that retrieves over page images and skips text extraction entirely (ColPali, Faysse et al., 2024; VisRAG, Yu et al., 2025), for the table problem (§5.5).</w:t>
      </w:r>
    </w:p>
    <w:p>
      <w:pPr>
        <w:pStyle w:val="ListBullet"/>
      </w:pPr>
      <w:r>
        <w:t>Latency optimization through quantization (AWQ; Lin et al., 2024), efficient serving (vLLM; Kwon et al., 2023), and prefix caching (SGLang; Zheng et al., 2024), to push the local tier below 10 seconds and make room for larger models on a server.</w:t>
      </w:r>
    </w:p>
    <w:p>
      <w:pPr>
        <w:pStyle w:val="Heading2"/>
      </w:pPr>
      <w:r>
        <w:t>7.4 Limitations</w:t>
      </w:r>
    </w:p>
    <w:p>
      <w:r>
        <w:t>The results are bounded in several ways. Three bound how far they generalize and directly motivate the future work above (§7.3): the corpus is single-domain and public (PIRLS), the LLM judge is not yet calibrated against human experts, and the question set is weighted toward fact-retrieval. Three further caveats concern the measurements themselves. PDF-to-text preprocessing introduces artifacts, most visibly in tables (§5.5). We did not run formal significance tests, so small differences in answer correctness (a few hundredths of a point) should be read as run-to-run variation rather than real gaps. And latency is hardware-specific: it was measured on a workstation-class laptop (Intel Arc Pro 140T, 32 GB) and is used only for relative comparison within this report's runs, not as an absolute production figure.</w:t>
      </w:r>
    </w:p>
    <w:p>
      <w:pPr>
        <w:pStyle w:val="Heading1"/>
      </w:pPr>
      <w:r>
        <w:t>8.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9.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§6.2.</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The system uses </w:t>
      </w:r>
      <w:r>
        <w:rPr>
          <w:rFonts w:ascii="Consolas" w:hAnsi="Consolas"/>
          <w:sz w:val="20"/>
        </w:rPr>
        <w:t>sentence-transformers/all-mpnet-base-v2</w:t>
      </w:r>
      <w:r>
        <w:t>, a 768-dimensional general-purpose sentence encoder from Hugging Face. Because the hybrid BM25-plus-dense retriever (§6.1.2) already covers a single dense encoder's main weakness, exact-term matching, swapping the embedding model is a lower-priority lever than reranking and hybrid retrieval.</w:t>
      </w:r>
    </w:p>
    <w:p>
      <w:r>
        <w:rPr>
          <w:b/>
        </w:rPr>
        <w:t>Data leakage.</w:t>
      </w:r>
      <w:r>
        <w:t xml:space="preserve"> The initial 300-item pool fully contains the 195 evaluation items, leaving only about 105 genuinely separate rows, too few to fine-tune on without leakage. This is a further reason the evaluation set is used unchanged throughout, and why fine-tuning is not a near-term lever.</w:t>
      </w:r>
    </w:p>
    <w:p>
      <w:r>
        <w:rPr>
          <w:b/>
        </w:rPr>
        <w:t>Value-added ablation (answer correctness, no-retrieval baselines; see §5.3).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B — Evaluation Results</w:t>
      </w:r>
    </w:p>
    <w:p>
      <w:r>
        <w:t xml:space="preserve">The complete evaluation results are provided as an accompanying spreadsheet, </w:t>
      </w:r>
      <w:r>
        <w:rPr>
          <w:rFonts w:ascii="Consolas" w:hAnsi="Consolas"/>
          <w:sz w:val="20"/>
        </w:rPr>
        <w:t>revised_final_report_appendix_B.xlsx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C.</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C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revised_final_report_appendix_C.xlsx</w:t>
      </w:r>
      <w:r>
        <w:t xml:space="preserve"> — the qualitative companion to Appendix B, cross-referenced by (run, row_id). It contains an "All runs" sheet with one row per question per run (filterable by run and row_id, for comparing how different pipelines answered the same question) and one sheet per run, in the same order and with the same names as Appendix B's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(§5.3).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