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Retrieval and Architecture Choices for Privacy-Preserving, Locally-Hosted Question Answering</w:t>
      </w:r>
    </w:p>
    <w:p>
      <w:pPr>
        <w:jc w:val="center"/>
      </w:pPr>
      <w:r>
        <w:rPr>
          <w:b/>
        </w:rPr>
        <w:t>Prepared by:</w:t>
      </w:r>
      <w:r>
        <w:t xml:space="preserve"> Widianto Persadha, Heiko Sibberns, Mohammad S. Thariq, Bettina Wietzorek</w:t>
      </w:r>
    </w:p>
    <w:p>
      <w:pPr>
        <w:jc w:val="center"/>
      </w:pPr>
      <w:r>
        <w:rPr>
          <w:b/>
        </w:rPr>
        <w:t>Prepared for:</w:t>
      </w:r>
      <w:r>
        <w:t xml:space="preserve"> IEA — R&amp;D Committee</w:t>
      </w:r>
    </w:p>
    <w:p>
      <w:pPr>
        <w:jc w:val="center"/>
      </w:pPr>
      <w:r>
        <w:rPr>
          <w:b/>
        </w:rPr>
        <w:t>Revised:</w:t>
      </w:r>
      <w:r>
        <w:t xml:space="preserve"> June 2026 </w:t>
      </w:r>
      <w:r>
        <w:rPr>
          <w:i/>
        </w:rPr>
        <w:t>(a revision of the original 2026 final report)</w:t>
      </w:r>
    </w:p>
    <w:p>
      <w:r>
        <w:br w:type="page"/>
      </w:r>
    </w:p>
    <w:p>
      <w:pPr>
        <w:spacing w:after="160"/>
      </w:pPr>
      <w:r>
        <w:rPr>
          <w:rFonts w:ascii="Times New Roman" w:hAnsi="Times New Roman"/>
          <w:b/>
          <w:color w:val="0F4761"/>
          <w:sz w:val="36"/>
        </w:rPr>
        <w:t>Contents</w:t>
      </w:r>
    </w:p>
    <w:p>
      <w:r>
        <w:fldChar w:fldCharType="begin"/>
        <w:instrText xml:space="preserve">TOC \o "1-3" \h \z \u</w:instrText>
        <w:fldChar w:fldCharType="separate">
          <w:t xml:space="preserve">Right-click and choose Update Field to build the table of contents.</w:t>
        </w:fldChar>
        <w:fldChar w:fldCharType="end"/>
      </w:r>
    </w:p>
    <w:p>
      <w:r>
        <w:br w:type="page"/>
      </w:r>
    </w:p>
    <w:p>
      <w:pPr>
        <w:pStyle w:val="Heading1"/>
      </w:pPr>
      <w:r>
        <w:t>Executive Summary</w:t>
      </w:r>
    </w:p>
    <w:p>
      <w:r>
        <w:t>We developed a proof-of-concept system that answers natural-language questions over IEA's PIRLS 2021 documentation. It uses Retrieval-Augmented Generation (RAG) with open-weight language models that run entirely on local hardware, enabling an organization to apply AI to its own documents without transmitting data to an external server. The prototype satisfies the three requirements identified by our staff survey: data privacy, transparent source attribution, and a web interface.</w:t>
      </w:r>
    </w:p>
    <w:p>
      <w:r>
        <w:t>The principal finding is that retrieval quality, not pipeline complexity, determines answer quality. We conducted a controlled benchmark of 195 question–answer pairs scored by a single LLM judge held constant across every run. The largest gains arose from improving how documents are retrieved rather than from adding a more sophisticated "agentic" reasoning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increases answer correctness from 0.202 with no retrieval to 0.689, a gain of +0.49; the best configuration reaches 0.774. On this corpus the open 8B model is nearly unusable without retrieval, and even the strongest closed model tested gains substantially once retrieval is added.</w:t>
      </w:r>
    </w:p>
    <w:p>
      <w:r>
        <w:t>The hypothesis that a more advanced pipeline performs better did not hold on local hardware. A more complex pipeline that decomposes the query, grades retrieved documents, and re-retrieves per sub-question did not improve answer quality over the simple pipeline, and it incurred four to five times the latency. Part of the large gap reported in the original report was a measurement artifact in how retrieved context was logged (§7.1); once corrected, the two pipelines were comparable in quality. A purpose-built redesign (Advanced v3) reached parity with the simple pipeline but did not surpass it.</w:t>
      </w:r>
    </w:p>
    <w:p>
      <w:r>
        <w:t>We recommend deploying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in its current form. Appendix A summarizes the changes relative to the original report; the items needing resources beyond this phase, chiefly a calibrated human-expert evaluation and validation on non-public documents, are carried forward as prioritized future work.</w:t>
      </w:r>
    </w:p>
    <w:p>
      <w:r>
        <w:rPr>
          <w:b/>
        </w:rPr>
        <w:t>Keywords:</w:t>
      </w:r>
      <w:r>
        <w:t xml:space="preserve"> retrieval-augmented generation; local LLMs; document question answering; hybrid retrieval; reranking; PIRLS; evaluation.</w:t>
      </w:r>
    </w:p>
    <w:p>
      <w:pPr>
        <w:pStyle w:val="Heading1"/>
      </w:pPr>
      <w:r>
        <w:t>1. Introduction</w:t>
      </w:r>
    </w:p>
    <w:p>
      <w:pPr>
        <w:pStyle w:val="Heading2"/>
      </w:pPr>
      <w:r>
        <w:t>1.1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difficult for researchers to locate specific facts quickly. Keyword search is slow and imprecise, and much of the knowledge resides in unstructured PDFs that resist conventional querying.</w:t>
      </w:r>
    </w:p>
    <w:p>
      <w:r>
        <w:t>Knowledge workers increasingly rely on AI to locate information more quickly, but general-purpose tools are inadequate in a professional setting. Large language models produce fluent, context-aware answers (Brown et al., 2020), yet they can hallucinate plausible but incorrect answers, they cannot access an organization's internal documents, and most commercial models operate in the cloud, which raises data-privacy concerns for sensitive internal material. What is required is a system that combines the fluency of modern LLMs with strict, local data governance. This project develops a proof-of-concept that runs entirely on local infrastructure and grounds every answer in retrieved source passages, so that each answer can be verified against the documents from which it derives.</w:t>
      </w:r>
    </w:p>
    <w:p>
      <w:pPr>
        <w:pStyle w:val="Heading2"/>
      </w:pPr>
      <w:r>
        <w:t>1.2 Scope</w:t>
      </w:r>
    </w:p>
    <w:p>
      <w:r>
        <w:t>This study uses the 2021 PIRLS dataset for development and evaluation. PIRLS was selected for the complexity and diversity of its content, which spans statistical methodology, dense policy and assessment frameworks, and country-level encyclopedic information. These properties make it representative of the high-value, unstructured documentation IEA produces.</w:t>
      </w:r>
    </w:p>
    <w:p>
      <w:r>
        <w:t>This phase focuses on extracting and retrieving high-density information from PDF documents. Multi-modal and structured sources such as SQL databases, spreadsheets, and HTML, together with high-fidelity table extraction, lie outside its scope; §6.5 explains why tables in particular were deferred. The results are intended both as a benchmark and as the basis for a future production deployment.</w:t>
      </w:r>
    </w:p>
    <w:p>
      <w:pPr>
        <w:pStyle w:val="Heading2"/>
      </w:pPr>
      <w:r>
        <w:t>1.3 Motivations and Research Questions</w:t>
      </w:r>
    </w:p>
    <w:p>
      <w:r>
        <w:t>The original report stated the project's significance as a set of forward claims about what a locally-hosted RAG system would deliver. Those claims are better framed as motivations drawn from the literature together with the questions this study seeks to test. A locally-hosted RAG system could benefit IEA in three ways, and we treat each as a question to answer with evidence rather than a benefit to assert in advance.</w:t>
      </w:r>
    </w:p>
    <w:p>
      <w:r>
        <w:t>The first is retrieval efficiency. RAG can let researchers ask natural-language questions and receive concise, source-grounded answers instead of searching large document collections manually. The research question is whether retrieval materially improves answer quality over an LLM used alone, tested in §6.3.</w:t>
      </w:r>
    </w:p>
    <w:p>
      <w:r>
        <w:t>The second is reliability through grounding. Grounding answers in retrieved passages should reduce hallucination and improve verifiability (Lewis et al., 2020; Gao et al., 2024). The research question is how faithful and how correct the grounded answers actually are, and where they fail, examined in §6.2 and §6.4.</w:t>
      </w:r>
    </w:p>
    <w:p>
      <w:r>
        <w:t>The third is privacy and control. Local deployment keeps all processing on-premises, which supports compliance and internal policy. The research question is whether an open, locally-deployable model can reach acceptable quality without a cloud service, tested in §7.2.3.</w:t>
      </w:r>
    </w:p>
    <w:p>
      <w:r>
        <w:t>Beyond these, the project establishes a foundation for later AI applications at IEA, such as report summarization, research assistance, and AI-assisted data cleaning. Those applications remain prospective and are not evaluated here.</w:t>
      </w:r>
    </w:p>
    <w:p>
      <w:pPr>
        <w:pStyle w:val="Heading2"/>
      </w:pPr>
      <w:r>
        <w:t>1.4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(§4.4).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1.5 Related Work</w:t>
      </w:r>
    </w:p>
    <w:p>
      <w:r>
        <w:t>RAG couples a parametric language model with a non-parametric document store to improve factuality on knowledge-intensive tasks (Lewis et al., 2020). Surveys of the area find that RAG performance depends as much on retrieval quality and document preprocessing as on the generator itself (Gao et al., 2024), a theme our results corroborate.</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relevant before they are used (Yan et al., 2024), and GraphRAG models a corpus as connected units to support multi-hop retrieval and global summarization (Edge et al., 2024). Selective methods such as Self-RAG extend this further, determining for each query whether retrieval is required at all (Asai et al., 2023). Our Advanced pipeline draws on the first two ideas, decomposition and post-retrieval validation, and §6.4 reports the outcome of having a small local model execute this machinery.</w:t>
      </w:r>
    </w:p>
    <w:p>
      <w:r>
        <w:t>On the retrieval side, the retrieve-then-rerank pattern is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prove to be the most effective levers in this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2. Background</w:t>
      </w:r>
    </w:p>
    <w:p>
      <w:r>
        <w:t>This section describes the techniques on which the remainder of the report depends. Readers already familiar with retrieval-augmented generation may proceed directly to §3. The evaluation metrics are defined separately, alongside the experimental setup, in §4.3.</w:t>
      </w:r>
    </w:p>
    <w:p>
      <w:pPr>
        <w:pStyle w:val="Heading2"/>
      </w:pPr>
      <w:r>
        <w:t>2.1 Retrieval-Augmented Generation</w:t>
      </w:r>
    </w:p>
    <w:p>
      <w:r>
        <w:t>Without an external source of information, a language model answers from the parameters it acquired during training. For a corpus such as PIRLS, this is inadequate sincethe model may not have encountered the documents during training so a confident answer cannot be verified. Retrieval-Augmented Generation (Lewis et al., 2020) addresses this limitation. Rather than relying on the model's recall, it supplies the relevant source passages to the model at the time of answering, so that the model operates on text that is explicitly available to it and every claim can be traced to a document.</w:t>
      </w:r>
    </w:p>
    <w:p>
      <w:r>
        <w:t>The method operates in two phases. The first is performed once, before any question is posed. Each document is divided into chunks of a few hundred words, and every chunk is processed by an embedding model that converts it into a vector — a sequence of numbers positioned such that passages with similar content occupy nearby regions of a high-dimensional space. These vectors are stored in a vector store (here, Chroma). The second phase occurs at query time. The question is embedded by the same model, and the system compares the question's vector against each chunk's vector using cosine similarity, the cosine of the angle between them:</w:t>
      </w:r>
    </w:p>
    <w:p>
      <w:pPr>
        <w:spacing w:before="80" w:after="120"/>
        <w:jc w:val="center"/>
      </w:pPr>
      <m:oMath>
        <m:r>
          <m:rPr>
            <m:sty m:val="p"/>
          </m:rPr>
          <m:t>cos</m:t>
        </m:r>
        <m:r>
          <m:t>(q,d)=</m:t>
        </m:r>
        <m:f>
          <m:fPr>
            <m:type m:val="bar"/>
          </m:fPr>
          <m:num>
            <m:r>
              <m:t>q·d</m:t>
            </m:r>
          </m:num>
          <m:den>
            <m:d>
              <m:dPr>
                <m:begChr m:val="‖"/>
                <m:sepChr m:val=""/>
                <m:endChr m:val="‖"/>
              </m:dPr>
              <m:e>
                <m:r>
                  <m:t>q</m:t>
                </m:r>
                <m:r>
                  <m:t>‖</m:t>
                </m:r>
                <m:r>
                  <m:t>·</m:t>
                </m:r>
                <m:r>
                  <m:t>‖</m:t>
                </m:r>
                <m:r>
                  <m:t>d</m:t>
                </m:r>
              </m:e>
            </m:d>
          </m:den>
        </m:f>
      </m:oMath>
    </w:p>
    <w:p>
      <w:r>
        <w:t xml:space="preserve">This quantity is 1 when two vectors point in the same direction and 0 when they are unrelated, so a higher value indicates that a chunk is more likely to concern the same subject as the question. The system retains the </w:t>
      </w:r>
      <m:oMath>
        <m:r>
          <m:t>k</m:t>
        </m:r>
      </m:oMath>
      <w:r>
        <w:t xml:space="preserve"> highest-scoring chunks, inserts them into the prompt, and instructs the model to answer using only the provided context and to state explicitly when the answer is not present.</w:t>
      </w:r>
    </w:p>
    <w:p>
      <w:r>
        <w:t xml:space="preserve">In this basic form, the most important parameter is </w:t>
      </w:r>
      <m:oMath>
        <m:r>
          <m:t>k</m:t>
        </m:r>
      </m:oMath>
      <w:r>
        <w:t xml:space="preserve">, the number of chunks retrieved. If </w:t>
      </w:r>
      <m:oMath>
        <m:r>
          <m:t>k</m:t>
        </m:r>
      </m:oMath>
      <w:r>
        <w:t xml:space="preserve"> is too small, the passage containing the answer may fall just beyond the cutoff, leaving the model without the information it requires. If </w:t>
      </w:r>
      <m:oMath>
        <m:r>
          <m:t>k</m:t>
        </m:r>
      </m:oMath>
      <w:r>
        <w:t xml:space="preserve"> is too large, the prompt accumulates loosely related text that obscures the relevant passage and increases the likelihood that a small model produces a fluent but incorrect answer. We set </w:t>
      </w:r>
      <m:oMath>
        <m:r>
          <m:t>k=4</m:t>
        </m:r>
      </m:oMath>
      <w:r>
        <w:t>. This single-pass procedure — embedding the query, retrieving the top four chunks, and generating once — constitutes Basic RAG, the baseline against which every subsequent refinement is measured.</w:t>
      </w:r>
    </w:p>
    <w:p>
      <w:pPr>
        <w:pStyle w:val="Heading2"/>
      </w:pPr>
      <w:r>
        <w:t>2.2 Corrective RAG</w:t>
      </w:r>
    </w:p>
    <w:p>
      <w:r>
        <w:t>Basic RAG accepts the retriever's ranking without verification. Whatever chunks occupy the top-</w:t>
      </w:r>
      <m:oMath>
        <m:r>
          <m:t>k</m:t>
        </m:r>
      </m:oMath>
      <w:r>
        <w:t xml:space="preserve"> positions are passed to the prompt, and any that are off-topic become noise. Corrective RAG (CRAG; Yan et al., 2024) introduces a verification step between retrieval and generation. Each retrieved chunk is assessed for relevance; those judged irrelevant are removed, and if too little context remains, the system may retrieve again or revert to the original set. The objective is to refine the context before the generator processes it.</w:t>
      </w:r>
    </w:p>
    <w:p>
      <w:r>
        <w:t>The effectiveness of this step depends entirely on the quality of the judge. A reliable judge removes genuine distractors while preserving the answer-bearing chunks. An unreliable judge causes harm, because the step can only remove chunks and cannot recover one that was wrongly discarded. When a chunk containing the answer is removed, recall decreases and no subsequent stage can compensate. §6.4 demonstrates that the lightweight grader incorporated into our first agentic pipeline discards answer-bearing chunks often enough that the correction step lowers answer quality rather than improving it.</w:t>
      </w:r>
    </w:p>
    <w:p>
      <w:pPr>
        <w:pStyle w:val="Heading2"/>
      </w:pPr>
      <w:r>
        <w:t>2.3 Hybrid Retrieval</w:t>
      </w:r>
    </w:p>
    <w:p>
      <w:r>
        <w:t>Dense retrieval, the cosine-similarity search described above, is effective at capturing semantic meaning. A query concerning _"young readers' attitudes toward books"_ will retrieve passages on reading motivation even when those exact words do not appear. However, since dense retrieval matches on meaning rather than word form, it may overlook the single literal term on which a question depends. Country names, study acronyms, and identifiers such as _"PIRLS"_ or a specific benchmark label are not always positioned closely in embedding space, so a question that depends on one of them may return plausible but incorrect passages.</w:t>
      </w:r>
    </w:p>
    <w:p>
      <w:r>
        <w:t>The established remedy is lexical search. BM25 (Robertson &amp; Zaragoza, 2009) scores a chunk according to how frequently the query's terms occur within it, assigning greater weight to rare and discriminating terms than to common ones and discounting chunks that score highly based only by their length:</w:t>
      </w:r>
    </w:p>
    <w:p>
      <w:pPr>
        <w:spacing w:before="80" w:after="120"/>
        <w:jc w:val="center"/>
      </w:pPr>
      <m:oMath>
        <m:r>
          <m:rPr>
            <m:sty m:val="p"/>
          </m:rPr>
          <m:t>BM</m:t>
        </m:r>
        <m:r>
          <m:t>25</m:t>
        </m:r>
        <m:r>
          <m:t>(q,d)=</m:t>
        </m:r>
        <m:nary>
          <m:naryPr>
            <m:chr m:val="∑"/>
            <m:limLoc m:val="subSup"/>
            <m:grow m:val="1"/>
            <m:subHide m:val="off"/>
            <m:supHide m:val="on"/>
          </m:naryPr>
          <m:sub>
            <m:r>
              <m:t>t∈q</m:t>
            </m:r>
          </m:sub>
          <m:sup/>
          <m:e>
            <m:r>
              <m:rPr>
                <m:sty m:val="p"/>
              </m:rPr>
              <m:t>IDF</m:t>
            </m:r>
          </m:e>
        </m:nary>
        <m:r>
          <m:t>(t)·</m:t>
        </m:r>
        <m:f>
          <m:fPr>
            <m:type m:val="bar"/>
          </m:fPr>
          <m:num>
            <m:r>
              <m:t>f(t,d)</m:t>
            </m:r>
            <m:r>
              <m:t>(</m:t>
            </m:r>
            <m:sSub>
              <m:e>
                <m:r>
                  <m:t>k</m:t>
                </m:r>
              </m:e>
              <m:sub>
                <m:r>
                  <m:t>1</m:t>
                </m:r>
              </m:sub>
            </m:sSub>
            <m:r>
              <m:t>+1)</m:t>
            </m:r>
          </m:num>
          <m:den>
            <m:r>
              <m:t>f(t,d)+</m:t>
            </m:r>
            <m:sSub>
              <m:e>
                <m:r>
                  <m:t>k</m:t>
                </m:r>
              </m:e>
              <m:sub>
                <m:r>
                  <m:t>1</m:t>
                </m:r>
              </m:sub>
            </m:sSub>
            <m:r>
              <m:t>(1−b+b</m:t>
            </m:r>
            <m:f>
              <m:fPr>
                <m:type m:val="bar"/>
              </m:fPr>
              <m:num>
                <m:d>
                  <m:dPr>
                    <m:begChr m:val="|"/>
                    <m:sepChr m:val=""/>
                    <m:endChr m:val="|"/>
                  </m:dPr>
                  <m:e>
                    <m:r>
                      <m:t>d</m:t>
                    </m:r>
                  </m:e>
                </m:d>
              </m:num>
              <m:den>
                <m:r>
                  <m:rPr>
                    <m:sty m:val="p"/>
                  </m:rPr>
                  <m:t>avgdl</m:t>
                </m:r>
              </m:den>
            </m:f>
            <m:r>
              <m:t>)</m:t>
            </m:r>
          </m:den>
        </m:f>
      </m:oMath>
    </w:p>
    <w:p>
      <w:r>
        <w:t xml:space="preserve">Here </w:t>
      </w:r>
      <m:oMath>
        <m:r>
          <m:t>f(t,d)</m:t>
        </m:r>
      </m:oMath>
      <w:r>
        <w:t xml:space="preserve"> is the frequency of term </w:t>
      </w:r>
      <m:oMath>
        <m:r>
          <m:t>t</m:t>
        </m:r>
      </m:oMath>
      <w:r>
        <w:t xml:space="preserve"> in chunk </w:t>
      </w:r>
      <m:oMath>
        <m:r>
          <m:t>d</m:t>
        </m:r>
      </m:oMath>
      <w:r>
        <w:t xml:space="preserve">, </w:t>
      </w:r>
      <m:oMath>
        <m:r>
          <m:t>IDF(t)</m:t>
        </m:r>
      </m:oMath>
      <w:r>
        <w:t xml:space="preserve"> is higher for rarer terms, </w:t>
      </w:r>
      <m:oMath>
        <m:d>
          <m:dPr>
            <m:begChr m:val="|"/>
            <m:sepChr m:val=""/>
            <m:endChr m:val="|"/>
          </m:dPr>
          <m:e>
            <m:r>
              <m:t>d</m:t>
            </m:r>
          </m:e>
        </m:d>
      </m:oMath>
      <w:r>
        <w:t xml:space="preserve"> is the chunk's length, </w:t>
      </w:r>
      <m:oMath>
        <m:r>
          <m:t>avgdl</m:t>
        </m:r>
      </m:oMath>
      <w:r>
        <w:t xml:space="preserve"> is the average chunk length, and </w:t>
      </w:r>
      <m:oMath>
        <m:sSub>
          <m:e>
            <m:r>
              <m:t>k</m:t>
            </m:r>
          </m:e>
          <m:sub>
            <m:r>
              <m:t>1</m:t>
            </m:r>
          </m:sub>
        </m:sSub>
      </m:oMath>
      <w:r>
        <w:t xml:space="preserve"> and </w:t>
      </w:r>
      <m:oMath>
        <m:r>
          <m:t>b</m:t>
        </m:r>
      </m:oMath>
      <w:r>
        <w:t xml:space="preserve"> are small tuning constants. As a result, BM25 can reliably locates the chunk that contains "Germany" or "plausible values," in which dense search is least dependable.</w:t>
      </w:r>
    </w:p>
    <w:p>
      <w:r>
        <w:t>Hybrid retrieval performs both searches and combines their results, so that a chunk is retained if either method ranks it highly. We combine them using reciprocal rank fusion (RRF; Cormack et al., 2009), which disregards the raw scores — since a cosine similarity and a BM25 score are not on a common scale — and uses only the position of each chunk within each list:</w:t>
      </w:r>
    </w:p>
    <w:p>
      <w:pPr>
        <w:spacing w:before="80" w:after="120"/>
        <w:jc w:val="center"/>
      </w:pPr>
      <m:oMath>
        <m:r>
          <m:rPr>
            <m:sty m:val="p"/>
          </m:rPr>
          <m:t>RRF</m:t>
        </m:r>
        <m:r>
          <m:t>(d)=</m:t>
        </m:r>
        <m:nary>
          <m:naryPr>
            <m:chr m:val="∑"/>
            <m:limLoc m:val="subSup"/>
            <m:grow m:val="1"/>
            <m:subHide m:val="off"/>
            <m:supHide m:val="on"/>
          </m:naryPr>
          <m:sub>
            <m:r>
              <m:t>r</m:t>
            </m:r>
          </m:sub>
          <m:sup/>
          <m:e>
            <m:f>
              <m:fPr>
                <m:type m:val="bar"/>
              </m:fPr>
              <m:num>
                <m:r>
                  <m:t>1</m:t>
                </m:r>
              </m:num>
              <m:den>
                <m:r>
                  <m:t>c+</m:t>
                </m:r>
                <m:sSub>
                  <m:e>
                    <m:r>
                      <m:rPr>
                        <m:sty m:val="p"/>
                      </m:rPr>
                      <m:t>rank</m:t>
                    </m:r>
                  </m:e>
                  <m:sub>
                    <m:r>
                      <m:t>r</m:t>
                    </m:r>
                  </m:sub>
                </m:sSub>
                <m:r>
                  <m:t>(d)</m:t>
                </m:r>
              </m:den>
            </m:f>
          </m:e>
        </m:nary>
      </m:oMath>
    </w:p>
    <w:p>
      <w:r>
        <w:t xml:space="preserve">where </w:t>
      </w:r>
      <m:oMath>
        <m:r>
          <m:t>ran</m:t>
        </m:r>
        <m:sSub>
          <m:e>
            <m:r>
              <m:t>k</m:t>
            </m:r>
          </m:e>
          <m:sub>
            <m:r>
              <m:t>r</m:t>
            </m:r>
          </m:sub>
        </m:sSub>
        <m:r>
          <m:t>(d)</m:t>
        </m:r>
      </m:oMath>
      <w:r>
        <w:t xml:space="preserve"> is the chunk's position in retriever </w:t>
      </w:r>
      <m:oMath>
        <m:r>
          <m:t>r</m:t>
        </m:r>
      </m:oMath>
      <w:r>
        <w:t xml:space="preserve">'s ranking and </w:t>
      </w:r>
      <m:oMath>
        <m:r>
          <m:t>c</m:t>
        </m:r>
      </m:oMath>
      <w:r>
        <w:t xml:space="preserve"> is a small constant that prevents the highest ranks from dominating. A chunk near the top of either the dense or the lexical list is therefore elevated in the combined order. Adding BM25 to the dense retriever in this manner recovers the entity-dependent questions that dense similarity alone tends to miss (Karpukhin et al., 2020).</w:t>
      </w:r>
    </w:p>
    <w:p>
      <w:pPr>
        <w:pStyle w:val="Heading2"/>
      </w:pPr>
      <w:r>
        <w:t>2.4 Cross-Encoder Reranking</w:t>
      </w:r>
    </w:p>
    <w:p>
      <w:r>
        <w:t>The retrievers described above are fast because they process the question and each chunk independently. The embedding model encodes the query once and every chunk once, in advance (computed during indexing, before any question is asked), after which retrieval reduces to a nearest-neighbour lookup over millions of precomputed vectors. This arrangement, termed a bi-encoder, scales readily to a large index. However, encoding the query and the chunks separately carries a limitation. Since the two are never processed together, the similarity score is only an approximation of the chunk's true relevance.</w:t>
      </w:r>
    </w:p>
    <w:p>
      <w:r>
        <w:t>A cross-encoder eliminates this approximation. Rather than encoding the two elements separately, it processes the question and a single candidate chunk jointly, allowing every term of the question to attend to every term of the chunk, and produces a single relevance score informed by both (Nogueira &amp; Cho, 2019). It is considerably more accurate, but far too slow to apply across the entire index for every query.</w:t>
      </w:r>
    </w:p>
    <w:p>
      <w:r>
        <w:t>The combination of the first method's speed and the second's accuracy is achieved by applying them in sequence, which is the approach this report adopts. The fast retriever returns a broad set of candidates — in this case, the top 20 — and the slower but more accurate cross-encoder re-scores only those 20 and retains the best 4 for the generator. The expensive model therefore processes no more than a small number of chunks, so the additional cost is modest, while the chunk that genuinely answers the question is promoted into the few that the generator receives, even when it lay outside the initial top 4. §7.2 measures this effect and demonstrates that it is the single largest source of the quality gains reported here.</w:t>
      </w:r>
    </w:p>
    <w:p>
      <w:pPr>
        <w:pStyle w:val="Heading1"/>
      </w:pPr>
      <w:r>
        <w:t>3. Methodology</w:t>
      </w:r>
    </w:p>
    <w:p>
      <w:r>
        <w:t>Standard RAG is vulnerable to retrieval noise, which motivated an Advanced variant that adds query decomposition (Khot et al., 2022), step-wise reasoning (Wei et al., 2022), and post-retrieval validation. As the results demonstrate, the value of this additional machinery depends substantially on the capacity of the local model executing it.</w:t>
      </w:r>
    </w:p>
    <w:p>
      <w:pPr>
        <w:pStyle w:val="Heading2"/>
      </w:pPr>
      <w:r>
        <w:t>3.1 Data Preparation</w:t>
      </w:r>
    </w:p>
    <w:p>
      <w:r>
        <w:t xml:space="preserve">The knowledge base was constructed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runs in-process with no external service, which keeps the entire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examined in §7.2.4, where we show that retrieval quality, not chunk granularity, is the binding constraint.</w:t>
      </w:r>
    </w:p>
    <w:p>
      <w:pPr>
        <w:pStyle w:val="Heading2"/>
      </w:pPr>
      <w:r>
        <w:t>3.2 User Survey</w:t>
      </w:r>
    </w:p>
    <w:p>
      <w:r>
        <w:t>Before development began, we conducted a requirements survey across IEA staff in the Hamburg and Amsterdam offices to confirm that the prototype addressed a genuine need. Forty staff responded, completing Phase 1 of the program. Respondents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foremost need, with technical documentation and specific study results such as PIRLS each cited 28 times. Staff also requested cross-region comparisons and longitudinal analysis. Most respondents wanted a "medium" level of detail in answers, though a sizeable segment requested either exhaustive explanations or direct access to the underlying data and tables.</w:t>
      </w:r>
    </w:p>
    <w:p>
      <w:r>
        <w:t>The non-functional requirements shaped the design just as strongly. Speed is a clear requirement: 80% of respondents expected an answer within 30 seconds, and many preferred a few seconds. Accuracy ranks even higher, with over 67% rating precise information "extremely important." In the open-ended responses, staff repeatedly stressed the need for source attribution so that they can verify an answer manually, which reflects an awareness of how confidently such tools can produce incorrect answers. These two themes, accuracy and verifiability, shaped a system that pairs a retriever grounding every answer with an interface that displays the underlying source chunks.</w:t>
      </w:r>
    </w:p>
    <w:p>
      <w:pPr>
        <w:pStyle w:val="Heading2"/>
      </w:pPr>
      <w:r>
        <w:t>3.3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3.3.1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w:t>
      </w:r>
      <m:oMath>
        <m:r>
          <m:t>k</m:t>
        </m:r>
      </m:oMath>
      <w:r>
        <w:t xml:space="preserve"> chunks by similarity. Those chunks are injected into a prompt that instructs the model to answer using only the provided context and to indicate when the answer is not present. The model then generates the answer. The original implementation retrieved the top chunks by dense similarity alone; §7.2 replaces that with a wider retrieval followed by reranking and hybrid fusion, which is the source of most of our gains.</w:t>
      </w:r>
    </w:p>
    <w:p>
      <w:pPr>
        <w:pStyle w:val="Heading3"/>
      </w:pPr>
      <w:r>
        <w:t>3.3.2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There is an important correction between what the original report described and what was actually evaluated. The original report described the Advanced pipeline as already performing per-sub-question re-retrieval and reranking. The version that was actually measured, which we now call Advanced v1, did neither. Its sub-questions reused the original query's retrieved documents, and no reranker was integrated into the graph. Its only active post-retrieval step was a binary relevance grader run by a small </w:t>
      </w:r>
      <w:r>
        <w:rPr>
          <w:rFonts w:ascii="Consolas" w:hAnsi="Consolas"/>
          <w:sz w:val="20"/>
        </w:rPr>
        <w:t>gemma3:1b</w:t>
      </w:r>
      <w:r>
        <w:t xml:space="preserve"> model. The intended re-retrieval and reranking were built later, in the Advanced v2 and v3 iterations described in §7.3. To preserve the integrity of the analysis, we describe each version by what it actually implemented and attribute results accordingly.</w:t>
      </w:r>
    </w:p>
    <w:p>
      <w:r>
        <w:rPr>
          <w:b/>
        </w:rPr>
        <w:t>Advanced v1, as built.</w:t>
      </w:r>
      <w:r>
        <w:t xml:space="preserve"> Figure 3 shows the pipeline that was actually evaluated,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§6.4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rPr>
          <w:b/>
        </w:rPr>
        <w:t>Advanced v2, as built.</w:t>
      </w:r>
      <w:r>
        <w:t xml:space="preserve"> Advanced v2 keeps v1's five-stage structure and its </w:t>
      </w:r>
      <w:r>
        <w:rPr>
          <w:rFonts w:ascii="Consolas" w:hAnsi="Consolas"/>
          <w:sz w:val="20"/>
        </w:rPr>
        <w:t>gemma3:1b</w:t>
      </w:r>
      <w:r>
        <w:t xml:space="preserve"> grader but changes how the sub-questions are handled. Where v1 answered every sub-question from the original query's four chunks, v2 retrieves a fresh set of chunks for each sub-question, de-duplicates them across sub-questions, and merges them into a single combined context from which the generator writes the final answer; the 100-word synthesis cap used by v1 is also removed. The binary grader, the decomposition step, and the answer-usefulness check are all inherited unchanged from v1. Figure 4 shows the added per-sub-question retrieval and the de-duplicated union.</w:t>
      </w:r>
    </w:p>
    <w:p>
      <w:pPr>
        <w:spacing w:before="120" w:after="40"/>
        <w:jc w:val="center"/>
      </w:pPr>
      <w:r>
        <w:drawing>
          <wp:inline xmlns:a="http://schemas.openxmlformats.org/drawingml/2006/main" xmlns:pic="http://schemas.openxmlformats.org/drawingml/2006/picture">
            <wp:extent cx="4389120" cy="5181993"/>
            <wp:docPr id="4" name="Picture 4"/>
            <wp:cNvGraphicFramePr>
              <a:graphicFrameLocks noChangeAspect="1"/>
            </wp:cNvGraphicFramePr>
            <a:graphic>
              <a:graphicData uri="http://schemas.openxmlformats.org/drawingml/2006/picture">
                <pic:pic>
                  <pic:nvPicPr>
                    <pic:cNvPr id="0" name="fig_adv_v2.png"/>
                    <pic:cNvPicPr/>
                  </pic:nvPicPr>
                  <pic:blipFill>
                    <a:blip r:embed="rId13"/>
                    <a:stretch>
                      <a:fillRect/>
                    </a:stretch>
                  </pic:blipFill>
                  <pic:spPr>
                    <a:xfrm>
                      <a:off x="0" y="0"/>
                      <a:ext cx="4389120" cy="5181993"/>
                    </a:xfrm>
                    <a:prstGeom prst="rect"/>
                  </pic:spPr>
                </pic:pic>
              </a:graphicData>
            </a:graphic>
          </wp:inline>
        </w:drawing>
      </w:r>
    </w:p>
    <w:p>
      <w:pPr>
        <w:jc w:val="center"/>
      </w:pPr>
      <w:r>
        <w:rPr>
          <w:i/>
          <w:color w:val="555555"/>
          <w:sz w:val="19"/>
        </w:rPr>
        <w:t>Figure 4. Advanced v2 adds per-sub-question retrieval and a de-duplicated union (highlighted) on top of v1. The extra retrieval widens the context with chunks that are relevant to the sub-questions but off-topic for the original query.</w:t>
      </w:r>
    </w:p>
    <w:p>
      <w:r>
        <w:rPr>
          <w:b/>
        </w:rPr>
        <w:t>Advanced v3, as built.</w:t>
      </w:r>
      <w:r>
        <w:t xml:space="preserve"> Advanced v3 is a rerank-aware redesign that runs on the improved retriever from §7.2. It changes four things relative to v1. First, it replaces the binary </w:t>
      </w:r>
      <w:r>
        <w:rPr>
          <w:rFonts w:ascii="Consolas" w:hAnsi="Consolas"/>
          <w:sz w:val="20"/>
        </w:rPr>
        <w:t>gemma3:1b</w:t>
      </w:r>
      <w:r>
        <w:t xml:space="preserve"> grader with reranker-score thresholding, so chunks are filtered by a graded relevance score rather than a keep-or-drop decision. Second, it decomposes adaptively: a question whose top reranked chunk scores at least 0.7 and clearly outscores the runner-up is treated as single-hop and answered directly, while the rest are decomposed as in v2. Third, for decomposed questions it reranks the combined sub-question chunks against the original query before generating. Fourth, it synthesizes the final answer from that reranked context rather than from the separate sub-answers. If no reranker is available, the pipeline falls back to v2. Figure 5 shows the flow.</w:t>
      </w:r>
    </w:p>
    <w:p>
      <w:pPr>
        <w:spacing w:before="120" w:after="4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fig_adv_v3.png"/>
                    <pic:cNvPicPr/>
                  </pic:nvPicPr>
                  <pic:blipFill>
                    <a:blip r:embed="rId14"/>
                    <a:stretch>
                      <a:fillRect/>
                    </a:stretch>
                  </pic:blipFill>
                  <pic:spPr>
                    <a:xfrm>
                      <a:off x="0" y="0"/>
                      <a:ext cx="4389120" cy="4389120"/>
                    </a:xfrm>
                    <a:prstGeom prst="rect"/>
                  </pic:spPr>
                </pic:pic>
              </a:graphicData>
            </a:graphic>
          </wp:inline>
        </w:drawing>
      </w:r>
    </w:p>
    <w:p>
      <w:pPr>
        <w:jc w:val="center"/>
      </w:pPr>
      <w:r>
        <w:rPr>
          <w:i/>
          <w:color w:val="555555"/>
          <w:sz w:val="19"/>
        </w:rPr>
        <w:t>Figure 5.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original documents; synthesis capped at 100 words</w:t>
            </w:r>
          </w:p>
        </w:tc>
        <w:tc>
          <w:tcPr>
            <w:tcW w:type="dxa" w:w="3120"/>
            <w:tcW w:w="3120" w:type="dxa"/>
          </w:tcPr>
          <w:p>
            <w:pPr>
              <w:spacing w:after="40"/>
            </w:pPr>
            <w:r/>
            <w:r>
              <w:rPr>
                <w:sz w:val="20"/>
              </w:rPr>
              <w:t>Evaluated; this is the original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(§7.3)</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(§7.3); matches Basic (0.780 vs 0.774), does not surpass it</w:t>
            </w:r>
          </w:p>
        </w:tc>
      </w:tr>
    </w:tbl>
    <w:p>
      <w:pPr>
        <w:spacing w:after="80"/>
      </w:pPr>
    </w:p>
    <w:p>
      <w:r>
        <w:t>Each version is described above as it was actually built; the reasoning behind each change, and the evaluation results, are reported in §7.3.</w:t>
      </w:r>
    </w:p>
    <w:p>
      <w:pPr>
        <w:pStyle w:val="Heading1"/>
      </w:pPr>
      <w:r>
        <w:t>4. Experimental Setup</w:t>
      </w:r>
    </w:p>
    <w:p>
      <w:pPr>
        <w:pStyle w:val="Heading2"/>
      </w:pPr>
      <w:r>
        <w:t>4.1 Hardware</w:t>
      </w:r>
    </w:p>
    <w:p>
      <w:r>
        <w:t>The original prototype was built and tested on an Alienware M18 (Intel Core i9-13980HX, NVIDIA RTX 4090 Laptop GPU 16 GB, 64 GB RAM); we avoided cloud GPUs to keep the system offline and to stress-test it under realistic local constraints. The re-evaluation here, covering the improvement experiments in §6 and §7, ran on a different machine because access to the RTX 4090 laptop was limited at the time. The machine used in the re-evaluation was an Intel Core Ultra 9 (16 cores), 32 GB RAM, and an Intel Arc Pro 140T GPU (16 GB). Consequently, the response-time figures in this revision are not comparable to the latency in the original report. The quality metrics (context precision and recall, faithfulness, and answer correctness) are hardware-independent and unaffected. The deployment implications of running on a single machine are discussed in §8.2.</w:t>
      </w:r>
    </w:p>
    <w:p>
      <w:pPr>
        <w:pStyle w:val="Heading2"/>
      </w:pPr>
      <w:r>
        <w:t>4.2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tries to avoid.</w:t>
      </w:r>
    </w:p>
    <w:p>
      <w:r>
        <w:t>Model size was the next constraint. Early tests with large models such as Llama-2 70B were unusable on local hardware, with single queries taking minutes (one PIRLS question took 139.46 seconds, another 59.2). We therefore standardized on sub-10B open-weight models, which keep response times usable on a single GPU. Llama 3 (8B) is the primary generator, chosen for its quality at that size. The original report had also evaluated Gemma 3 (4B), which scored on par with Llama 3 8B (answer correctness 0.42 against 0.41). This model was not carried forward, since the re-evaluation fixed a single generator and probed strength only at the extremes — a stronger open-source reasoning model, DeepSeek-R1 (8B) (DeepSeek-AI, 2025), and a strong closed model, gpt-5.4-mini. For the controlled three-architecture comparison in §6 the generator is held fixed at llama3:8b so only the pipeline varies. The generator is then varied on its own in §7.2.3, applied to the best retrieval configuration. There, gpt-5.4-mini serves as an open-versus-closed benchmark to measure how much accuracy the privacy constraint costs.</w:t>
      </w:r>
    </w:p>
    <w:p>
      <w:r>
        <w:t>Two of the agentic pipelines use a second, smaller model as an internal grader that scores each retrieved chunk for relevance (§2.2). We use gemma3:1b for that role. The grader only runs once per chunk and it should not add latency. Therefore we use gemma3:1b for that role. However, §6.4 shows that this economy proves a poor trade-off on this corpus.</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depend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 An earlier evaluation pass used a different framework and judge, which is why scores are not comparable across passes; §7.1 covers this.</w:t>
      </w:r>
    </w:p>
    <w:p>
      <w:pPr>
        <w:pStyle w:val="Heading2"/>
      </w:pPr>
      <w:r>
        <w:t>4.3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spacing w:before="80" w:after="120"/>
        <w:jc w:val="center"/>
      </w:pPr>
      <m:oMath>
        <m:r>
          <m:rPr>
            <m:nor/>
          </m:rPr>
          <m:t>Context Precision</m:t>
        </m:r>
        <m:r>
          <m:t>=</m:t>
        </m:r>
        <m:f>
          <m:fPr>
            <m:type m:val="bar"/>
          </m:fPr>
          <m:num>
            <m:nary>
              <m:naryPr>
                <m:chr m:val="∑"/>
                <m:limLoc m:val="subSup"/>
                <m:grow m:val="1"/>
                <m:subHide m:val="off"/>
                <m:supHide m:val="on"/>
              </m:naryPr>
              <m:sub>
                <m:r>
                  <m:t>k</m:t>
                </m:r>
              </m:sub>
              <m:sup/>
              <m:e>
                <m:r>
                  <m:t>P(k)</m:t>
                </m:r>
              </m:e>
            </m:nary>
            <m:r>
              <m:rPr>
                <m:sty m:val="p"/>
              </m:rPr>
              <m:t>rel</m:t>
            </m:r>
            <m:r>
              <m:t>(k)</m:t>
            </m:r>
          </m:num>
          <m:den>
            <m:r>
              <m:rPr>
                <m:nor/>
              </m:rPr>
              <m:t>number of relevant chunks</m:t>
            </m:r>
          </m:den>
        </m:f>
      </m:oMath>
    </w:p>
    <w:p>
      <w:r>
        <w:t>where rel(k) is 1 when the chunk at rank k is relevant and P(k) is the precision over the top k. If relevant chunks occupy ranks 1 and 3 with an irrelevant chunk at rank 2, the score falls below 1.0 because an irrelevant chunk outranks a relevant one.</w:t>
      </w:r>
    </w:p>
    <w:p>
      <w:r>
        <w:rPr>
          <w:i/>
        </w:rPr>
        <w:t>Context recall</w:t>
      </w:r>
      <w:r>
        <w:t xml:space="preserve"> measures whether retrieval captured all the facts the reference answer needs. An LLM breaks the reference answer into individual statements and checks each against the retrieved context,</w:t>
      </w:r>
    </w:p>
    <w:p>
      <w:pPr>
        <w:spacing w:before="80" w:after="120"/>
        <w:jc w:val="center"/>
      </w:pPr>
      <m:oMath>
        <m:r>
          <m:rPr>
            <m:nor/>
          </m:rPr>
          <m:t>Context Recall</m:t>
        </m:r>
        <m:r>
          <m:t>=</m:t>
        </m:r>
        <m:f>
          <m:fPr>
            <m:type m:val="bar"/>
          </m:fPr>
          <m:num>
            <m:r>
              <m:rPr>
                <m:nor/>
              </m:rPr>
              <m:t>reference statements supported by the context</m:t>
            </m:r>
          </m:num>
          <m:den>
            <m:r>
              <m:rPr>
                <m:nor/>
              </m:rPr>
              <m:t>total reference statements</m:t>
            </m:r>
          </m:den>
        </m:f>
      </m:oMath>
    </w:p>
    <w:p>
      <w:r>
        <w:t>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spacing w:before="80" w:after="120"/>
        <w:jc w:val="center"/>
      </w:pPr>
      <m:oMath>
        <m:r>
          <m:rPr>
            <m:nor/>
          </m:rPr>
          <m:t>Faithfulness</m:t>
        </m:r>
        <m:r>
          <m:t>=</m:t>
        </m:r>
        <m:f>
          <m:fPr>
            <m:type m:val="bar"/>
          </m:fPr>
          <m:num>
            <m:r>
              <m:rPr>
                <m:nor/>
              </m:rPr>
              <m:t>answer claims supported by the context</m:t>
            </m:r>
          </m:num>
          <m:den>
            <m:r>
              <m:rPr>
                <m:nor/>
              </m:rPr>
              <m:t>total answer claims</m:t>
            </m:r>
          </m:den>
        </m:f>
      </m:oMath>
    </w:p>
    <w:p>
      <w:r>
        <w:t>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against a fixed rubric and returns a probability-weighted score. "Germany scored 524" against a reference of "Germany: 524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after RAGAS proved both far slower and unreliable on a local judge, as §7.1 recounts. For latency, lower is better.</w:t>
      </w:r>
    </w:p>
    <w:p>
      <w:pPr>
        <w:pStyle w:val="Heading2"/>
      </w:pPr>
      <w:r>
        <w:t>4.4 Evaluation Dataset Construction</w:t>
      </w:r>
    </w:p>
    <w:p>
      <w:r>
        <w:t xml:space="preserve">The evaluation set is the same 195 question–answer pairs the original report scored, now annotated with explicit human/synthetic provenance and held in </w:t>
      </w:r>
      <w:r>
        <w:rPr>
          <w:rFonts w:ascii="Consolas" w:hAnsi="Consolas"/>
          <w:sz w:val="20"/>
        </w:rPr>
        <w:t>datasets/revision/</w:t>
      </w:r>
      <w:r>
        <w:t>. These 195 are the items from the original report's 300-item pool that both pipelines could complete; the rest were set aside because the advanced pipeline's outputs exceeded the judge's token limit. We reuse this selection unchanged, both for comparability with the original report and because the full 300-item pool has a train/evaluation leakage problem (§7.2.4) that makes its surplus items unsuitable as held-out data.</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§6.2 and §6.3.</w:t>
      </w:r>
    </w:p>
    <w:p>
      <w:pPr>
        <w:pStyle w:val="Heading3"/>
      </w:pPr>
      <w:r>
        <w:t>4.4.1 Dataset Composition: Provenance and Question Coverage</w:t>
      </w:r>
    </w:p>
    <w:p>
      <w:r>
        <w:t xml:space="preserve">To characterize what the evaluation set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6" name="Picture 6"/>
            <wp:cNvGraphicFramePr>
              <a:graphicFrameLocks noChangeAspect="1"/>
            </wp:cNvGraphicFramePr>
            <a:graphic>
              <a:graphicData uri="http://schemas.openxmlformats.org/drawingml/2006/picture">
                <pic:pic>
                  <pic:nvPicPr>
                    <pic:cNvPr id="0" name="fig8_question_coverage.png"/>
                    <pic:cNvPicPr/>
                  </pic:nvPicPr>
                  <pic:blipFill>
                    <a:blip r:embed="rId15"/>
                    <a:stretch>
                      <a:fillRect/>
                    </a:stretch>
                  </pic:blipFill>
                  <pic:spPr>
                    <a:xfrm>
                      <a:off x="0" y="0"/>
                      <a:ext cx="5303520" cy="2807746"/>
                    </a:xfrm>
                    <a:prstGeom prst="rect"/>
                  </pic:spPr>
                </pic:pic>
              </a:graphicData>
            </a:graphic>
          </wp:inline>
        </w:drawing>
      </w:r>
    </w:p>
    <w:p>
      <w:pPr>
        <w:jc w:val="center"/>
      </w:pPr>
      <w:r>
        <w:rPr>
          <w:i/>
          <w:color w:val="555555"/>
          <w:sz w:val="19"/>
        </w:rPr>
        <w:t>Figure 6.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set is dominated by fact-retrieval questions at about 68%, while the deep methodological "why and how" questions are under-sampled: sampling at 4.6%, plausible values and scaling at 3.1%, and weighting and variance at 1.5%, roughly 9% combined. We note this as a limitation in §8 and recommend deliberately over-sampling reasoning-heavy methodological questions in any follow-up evaluation set.</w:t>
      </w:r>
    </w:p>
    <w:p>
      <w:pPr>
        <w:pStyle w:val="Heading1"/>
      </w:pPr>
      <w:r>
        <w:t>5. Relation to the Original Report</w:t>
      </w:r>
    </w:p>
    <w:p>
      <w:r>
        <w:t>The original report and this revision are two evaluations of the same family of systems, carried out a few months apart with different evaluation machinery. This section connects them: how the experiment program unfolded, what the original report measured, and why the numbers here differ from the ones it published.</w:t>
      </w:r>
    </w:p>
    <w:p>
      <w:pPr>
        <w:pStyle w:val="Heading2"/>
      </w:pPr>
      <w:r>
        <w:t>5.1 Experimental Progression</w:t>
      </w:r>
    </w:p>
    <w:p>
      <w:r>
        <w:t>The work started from the prototype and the findings in the original report, and it proceeded in a deliberate order that explains the shape of the experiment matrix in Appendix B.</w:t>
      </w:r>
    </w:p>
    <w:p>
      <w:r>
        <w:t>We first corrected the problems in the original evaluation (§7.1 sets them out) and re-ran the Basic pipeline to establish a reliable baseline. We then applied the same corrections to the Advanced pipeline and re-evaluated it, first as Advanced v1 and then, after reworking its sub-question handling, as Advanced v2. Across that corrected comparison the Basic pipeline remained ahead (§6.1), so we concentrated the improvement effort there rather than on the agentic machinery.</w:t>
      </w:r>
    </w:p>
    <w:p>
      <w:r>
        <w:t>That decision is why the middle of the experiment matrix varies only the Basic pipeline. The sequence of retrieval and generator levers — reranking, then hybrid retrieval, then a stronger generator up to gpt-5.4-mini — was explored on Basic alone, because Basic was the configuration worth improving. Only once those levers had been characterized did we incorporate the best of them, hybrid retrieval with a cross-encoder reranker, into the agentic pipeline. That is the last pair of runs, Advanced v3 (rerank-aware, §7.3), whose purpose was narrow: to test whether a strong retrieval stack could be advanced further by the decomposition machinery. The progression runs baseline → corrected Advanced (v1, v2) → a Basic-only improvement search → Advanced v3, and Appendix B reads in that order.</w:t>
      </w:r>
    </w:p>
    <w:p>
      <w:pPr>
        <w:pStyle w:val="Heading2"/>
      </w:pPr>
      <w:r>
        <w:t>5.2 Original Results and Corrections</w:t>
      </w:r>
    </w:p>
    <w:p>
      <w:r>
        <w:t>The original report evaluated the Basic and Advanced pipelines across three local generators; its headline numbers are reproduced in Table 4.</w:t>
      </w:r>
    </w:p>
    <w:p>
      <w:r>
        <w:rPr>
          <w:b/>
        </w:rPr>
        <w:t>Table 4. Results as reported in the original report (averaged over the same 195 items; higher is better; latency on the original RTX-4090 hardware, in seconds).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Pipeline</w:t>
            </w:r>
          </w:p>
        </w:tc>
        <w:tc>
          <w:tcPr>
            <w:tcW w:type="dxa" w:w="1337"/>
            <w:shd w:val="clear" w:fill="D5E8F0"/>
            <w:tcW w:w="1337" w:type="dxa"/>
          </w:tcPr>
          <w:p>
            <w:pPr>
              <w:spacing w:after="40"/>
            </w:pPr>
            <w:r>
              <w:rPr>
                <w:b/>
              </w:rPr>
            </w:r>
            <w:r>
              <w:rPr>
                <w:b/>
                <w:sz w:val="20"/>
              </w:rPr>
              <w:t>Generator</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Llama 3 8B</w:t>
            </w:r>
          </w:p>
        </w:tc>
        <w:tc>
          <w:tcPr>
            <w:tcW w:type="dxa" w:w="1337"/>
            <w:tcW w:w="1337" w:type="dxa"/>
          </w:tcPr>
          <w:p>
            <w:pPr>
              <w:spacing w:after="40"/>
            </w:pPr>
            <w:r/>
            <w:r>
              <w:rPr>
                <w:sz w:val="20"/>
              </w:rPr>
              <w:t>0.62</w:t>
            </w:r>
          </w:p>
        </w:tc>
        <w:tc>
          <w:tcPr>
            <w:tcW w:type="dxa" w:w="1337"/>
            <w:tcW w:w="1337" w:type="dxa"/>
          </w:tcPr>
          <w:p>
            <w:pPr>
              <w:spacing w:after="40"/>
            </w:pPr>
            <w:r/>
            <w:r>
              <w:rPr>
                <w:sz w:val="20"/>
              </w:rPr>
              <w:t>0.54</w:t>
            </w:r>
          </w:p>
        </w:tc>
        <w:tc>
          <w:tcPr>
            <w:tcW w:type="dxa" w:w="1337"/>
            <w:tcW w:w="1337" w:type="dxa"/>
          </w:tcPr>
          <w:p>
            <w:pPr>
              <w:spacing w:after="40"/>
            </w:pPr>
            <w:r/>
            <w:r>
              <w:rPr>
                <w:sz w:val="20"/>
              </w:rPr>
              <w:t>0.98</w:t>
            </w:r>
          </w:p>
        </w:tc>
        <w:tc>
          <w:tcPr>
            <w:tcW w:type="dxa" w:w="1337"/>
            <w:tcW w:w="1337" w:type="dxa"/>
          </w:tcPr>
          <w:p>
            <w:pPr>
              <w:spacing w:after="40"/>
            </w:pPr>
            <w:r/>
            <w:r>
              <w:rPr>
                <w:sz w:val="20"/>
              </w:rPr>
              <w:t>0.41</w:t>
            </w:r>
          </w:p>
        </w:tc>
        <w:tc>
          <w:tcPr>
            <w:tcW w:type="dxa" w:w="1337"/>
            <w:tcW w:w="1337" w:type="dxa"/>
          </w:tcPr>
          <w:p>
            <w:pPr>
              <w:spacing w:after="40"/>
            </w:pPr>
            <w:r/>
            <w:r>
              <w:rPr>
                <w:sz w:val="20"/>
              </w:rPr>
              <w:t>7.4</w:t>
            </w:r>
          </w:p>
        </w:tc>
      </w:tr>
      <w:tr>
        <w:tc>
          <w:tcPr>
            <w:tcW w:type="dxa" w:w="1337"/>
            <w:tcW w:w="1337" w:type="dxa"/>
          </w:tcPr>
          <w:p>
            <w:pPr>
              <w:spacing w:after="40"/>
            </w:pPr>
            <w:r/>
            <w:r>
              <w:rPr>
                <w:sz w:val="20"/>
              </w:rPr>
              <w:t>Basic</w:t>
            </w:r>
          </w:p>
        </w:tc>
        <w:tc>
          <w:tcPr>
            <w:tcW w:type="dxa" w:w="1337"/>
            <w:tcW w:w="1337" w:type="dxa"/>
          </w:tcPr>
          <w:p>
            <w:pPr>
              <w:spacing w:after="40"/>
            </w:pPr>
            <w:r/>
            <w:r>
              <w:rPr>
                <w:sz w:val="20"/>
              </w:rPr>
              <w:t>Gemma 3 4B</w:t>
            </w:r>
          </w:p>
        </w:tc>
        <w:tc>
          <w:tcPr>
            <w:tcW w:type="dxa" w:w="1337"/>
            <w:tcW w:w="1337" w:type="dxa"/>
          </w:tcPr>
          <w:p>
            <w:pPr>
              <w:spacing w:after="40"/>
            </w:pPr>
            <w:r/>
            <w:r>
              <w:rPr>
                <w:sz w:val="20"/>
              </w:rPr>
              <w:t>0.64</w:t>
            </w:r>
          </w:p>
        </w:tc>
        <w:tc>
          <w:tcPr>
            <w:tcW w:type="dxa" w:w="1337"/>
            <w:tcW w:w="1337" w:type="dxa"/>
          </w:tcPr>
          <w:p>
            <w:pPr>
              <w:spacing w:after="40"/>
            </w:pPr>
            <w:r/>
            <w:r>
              <w:rPr>
                <w:sz w:val="20"/>
              </w:rPr>
              <w:t>0.56</w:t>
            </w:r>
          </w:p>
        </w:tc>
        <w:tc>
          <w:tcPr>
            <w:tcW w:type="dxa" w:w="1337"/>
            <w:tcW w:w="1337" w:type="dxa"/>
          </w:tcPr>
          <w:p>
            <w:pPr>
              <w:spacing w:after="40"/>
            </w:pPr>
            <w:r/>
            <w:r>
              <w:rPr>
                <w:sz w:val="20"/>
              </w:rPr>
              <w:t>0.97</w:t>
            </w:r>
          </w:p>
        </w:tc>
        <w:tc>
          <w:tcPr>
            <w:tcW w:type="dxa" w:w="1337"/>
            <w:tcW w:w="1337" w:type="dxa"/>
          </w:tcPr>
          <w:p>
            <w:pPr>
              <w:spacing w:after="40"/>
            </w:pPr>
            <w:r/>
            <w:r>
              <w:rPr>
                <w:sz w:val="20"/>
              </w:rPr>
              <w:t>0.42</w:t>
            </w:r>
          </w:p>
        </w:tc>
        <w:tc>
          <w:tcPr>
            <w:tcW w:type="dxa" w:w="1337"/>
            <w:tcW w:w="1337" w:type="dxa"/>
          </w:tcPr>
          <w:p>
            <w:pPr>
              <w:spacing w:after="40"/>
            </w:pPr>
            <w:r/>
            <w:r>
              <w:rPr>
                <w:sz w:val="20"/>
              </w:rPr>
              <w:t>5.9</w:t>
            </w:r>
          </w:p>
        </w:tc>
      </w:tr>
      <w:tr>
        <w:tc>
          <w:tcPr>
            <w:tcW w:type="dxa" w:w="1337"/>
            <w:tcW w:w="1337" w:type="dxa"/>
          </w:tcPr>
          <w:p>
            <w:pPr>
              <w:spacing w:after="40"/>
            </w:pPr>
            <w:r/>
            <w:r>
              <w:rPr>
                <w:sz w:val="20"/>
              </w:rPr>
              <w:t>Basic</w:t>
            </w:r>
          </w:p>
        </w:tc>
        <w:tc>
          <w:tcPr>
            <w:tcW w:type="dxa" w:w="1337"/>
            <w:tcW w:w="1337" w:type="dxa"/>
          </w:tcPr>
          <w:p>
            <w:pPr>
              <w:spacing w:after="40"/>
            </w:pPr>
            <w:r/>
            <w:r>
              <w:rPr>
                <w:sz w:val="20"/>
              </w:rPr>
              <w:t>DeepSeek-R1 8B</w:t>
            </w:r>
          </w:p>
        </w:tc>
        <w:tc>
          <w:tcPr>
            <w:tcW w:type="dxa" w:w="1337"/>
            <w:tcW w:w="1337" w:type="dxa"/>
          </w:tcPr>
          <w:p>
            <w:pPr>
              <w:spacing w:after="40"/>
            </w:pPr>
            <w:r/>
            <w:r>
              <w:rPr>
                <w:sz w:val="20"/>
              </w:rPr>
              <w:t>0.63</w:t>
            </w:r>
          </w:p>
        </w:tc>
        <w:tc>
          <w:tcPr>
            <w:tcW w:type="dxa" w:w="1337"/>
            <w:tcW w:w="1337" w:type="dxa"/>
          </w:tcPr>
          <w:p>
            <w:pPr>
              <w:spacing w:after="40"/>
            </w:pPr>
            <w:r/>
            <w:r>
              <w:rPr>
                <w:sz w:val="20"/>
              </w:rPr>
              <w:t>0.54</w:t>
            </w:r>
          </w:p>
        </w:tc>
        <w:tc>
          <w:tcPr>
            <w:tcW w:type="dxa" w:w="1337"/>
            <w:tcW w:w="1337" w:type="dxa"/>
          </w:tcPr>
          <w:p>
            <w:pPr>
              <w:spacing w:after="40"/>
            </w:pPr>
            <w:r/>
            <w:r>
              <w:rPr>
                <w:sz w:val="20"/>
              </w:rPr>
              <w:t>0.97</w:t>
            </w:r>
          </w:p>
        </w:tc>
        <w:tc>
          <w:tcPr>
            <w:tcW w:type="dxa" w:w="1337"/>
            <w:tcW w:w="1337" w:type="dxa"/>
          </w:tcPr>
          <w:p>
            <w:pPr>
              <w:spacing w:after="40"/>
            </w:pPr>
            <w:r/>
            <w:r>
              <w:rPr>
                <w:sz w:val="20"/>
              </w:rPr>
              <w:t>0.44</w:t>
            </w:r>
          </w:p>
        </w:tc>
        <w:tc>
          <w:tcPr>
            <w:tcW w:type="dxa" w:w="1337"/>
            <w:tcW w:w="1337" w:type="dxa"/>
          </w:tcPr>
          <w:p>
            <w:pPr>
              <w:spacing w:after="40"/>
            </w:pPr>
            <w:r/>
            <w:r>
              <w:rPr>
                <w:sz w:val="20"/>
              </w:rPr>
              <w:t>19.0</w:t>
            </w:r>
          </w:p>
        </w:tc>
      </w:tr>
      <w:tr>
        <w:tc>
          <w:tcPr>
            <w:tcW w:type="dxa" w:w="1337"/>
            <w:tcW w:w="1337" w:type="dxa"/>
          </w:tcPr>
          <w:p>
            <w:pPr>
              <w:spacing w:after="40"/>
            </w:pPr>
            <w:r/>
            <w:r>
              <w:rPr>
                <w:sz w:val="20"/>
              </w:rPr>
              <w:t>Advanced</w:t>
            </w:r>
          </w:p>
        </w:tc>
        <w:tc>
          <w:tcPr>
            <w:tcW w:type="dxa" w:w="1337"/>
            <w:tcW w:w="1337" w:type="dxa"/>
          </w:tcPr>
          <w:p>
            <w:pPr>
              <w:spacing w:after="40"/>
            </w:pPr>
            <w:r/>
            <w:r>
              <w:rPr>
                <w:sz w:val="20"/>
              </w:rPr>
              <w:t>Llama 3 8B</w:t>
            </w:r>
          </w:p>
        </w:tc>
        <w:tc>
          <w:tcPr>
            <w:tcW w:type="dxa" w:w="1337"/>
            <w:tcW w:w="1337" w:type="dxa"/>
          </w:tcPr>
          <w:p>
            <w:pPr>
              <w:spacing w:after="40"/>
            </w:pPr>
            <w:r/>
            <w:r>
              <w:rPr>
                <w:sz w:val="20"/>
              </w:rPr>
              <w:t>0.29</w:t>
            </w:r>
          </w:p>
        </w:tc>
        <w:tc>
          <w:tcPr>
            <w:tcW w:type="dxa" w:w="1337"/>
            <w:tcW w:w="1337" w:type="dxa"/>
          </w:tcPr>
          <w:p>
            <w:pPr>
              <w:spacing w:after="40"/>
            </w:pPr>
            <w:r/>
            <w:r>
              <w:rPr>
                <w:sz w:val="20"/>
              </w:rPr>
              <w:t>0.31</w:t>
            </w:r>
          </w:p>
        </w:tc>
        <w:tc>
          <w:tcPr>
            <w:tcW w:type="dxa" w:w="1337"/>
            <w:tcW w:w="1337" w:type="dxa"/>
          </w:tcPr>
          <w:p>
            <w:pPr>
              <w:spacing w:after="40"/>
            </w:pPr>
            <w:r/>
            <w:r>
              <w:rPr>
                <w:sz w:val="20"/>
              </w:rPr>
              <w:t>0.97</w:t>
            </w:r>
          </w:p>
        </w:tc>
        <w:tc>
          <w:tcPr>
            <w:tcW w:type="dxa" w:w="1337"/>
            <w:tcW w:w="1337" w:type="dxa"/>
          </w:tcPr>
          <w:p>
            <w:pPr>
              <w:spacing w:after="40"/>
            </w:pPr>
            <w:r/>
            <w:r>
              <w:rPr>
                <w:sz w:val="20"/>
              </w:rPr>
              <w:t>0.23</w:t>
            </w:r>
          </w:p>
        </w:tc>
        <w:tc>
          <w:tcPr>
            <w:tcW w:type="dxa" w:w="1337"/>
            <w:tcW w:w="1337" w:type="dxa"/>
          </w:tcPr>
          <w:p>
            <w:pPr>
              <w:spacing w:after="40"/>
            </w:pPr>
            <w:r/>
            <w:r>
              <w:rPr>
                <w:sz w:val="20"/>
              </w:rPr>
              <w:t>22.9</w:t>
            </w:r>
          </w:p>
        </w:tc>
      </w:tr>
      <w:tr>
        <w:tc>
          <w:tcPr>
            <w:tcW w:type="dxa" w:w="1337"/>
            <w:tcW w:w="1337" w:type="dxa"/>
          </w:tcPr>
          <w:p>
            <w:pPr>
              <w:spacing w:after="40"/>
            </w:pPr>
            <w:r/>
            <w:r>
              <w:rPr>
                <w:sz w:val="20"/>
              </w:rPr>
              <w:t>Advanced</w:t>
            </w:r>
          </w:p>
        </w:tc>
        <w:tc>
          <w:tcPr>
            <w:tcW w:type="dxa" w:w="1337"/>
            <w:tcW w:w="1337" w:type="dxa"/>
          </w:tcPr>
          <w:p>
            <w:pPr>
              <w:spacing w:after="40"/>
            </w:pPr>
            <w:r/>
            <w:r>
              <w:rPr>
                <w:sz w:val="20"/>
              </w:rPr>
              <w:t>Gemma 3 4B</w:t>
            </w:r>
          </w:p>
        </w:tc>
        <w:tc>
          <w:tcPr>
            <w:tcW w:type="dxa" w:w="1337"/>
            <w:tcW w:w="1337" w:type="dxa"/>
          </w:tcPr>
          <w:p>
            <w:pPr>
              <w:spacing w:after="40"/>
            </w:pPr>
            <w:r/>
            <w:r>
              <w:rPr>
                <w:sz w:val="20"/>
              </w:rPr>
              <w:t>0.31</w:t>
            </w:r>
          </w:p>
        </w:tc>
        <w:tc>
          <w:tcPr>
            <w:tcW w:type="dxa" w:w="1337"/>
            <w:tcW w:w="1337" w:type="dxa"/>
          </w:tcPr>
          <w:p>
            <w:pPr>
              <w:spacing w:after="40"/>
            </w:pPr>
            <w:r/>
            <w:r>
              <w:rPr>
                <w:sz w:val="20"/>
              </w:rPr>
              <w:t>0.29</w:t>
            </w:r>
          </w:p>
        </w:tc>
        <w:tc>
          <w:tcPr>
            <w:tcW w:type="dxa" w:w="1337"/>
            <w:tcW w:w="1337" w:type="dxa"/>
          </w:tcPr>
          <w:p>
            <w:pPr>
              <w:spacing w:after="40"/>
            </w:pPr>
            <w:r/>
            <w:r>
              <w:rPr>
                <w:sz w:val="20"/>
              </w:rPr>
              <w:t>0.96</w:t>
            </w:r>
          </w:p>
        </w:tc>
        <w:tc>
          <w:tcPr>
            <w:tcW w:type="dxa" w:w="1337"/>
            <w:tcW w:w="1337" w:type="dxa"/>
          </w:tcPr>
          <w:p>
            <w:pPr>
              <w:spacing w:after="40"/>
            </w:pPr>
            <w:r/>
            <w:r>
              <w:rPr>
                <w:sz w:val="20"/>
              </w:rPr>
              <w:t>0.24</w:t>
            </w:r>
          </w:p>
        </w:tc>
        <w:tc>
          <w:tcPr>
            <w:tcW w:type="dxa" w:w="1337"/>
            <w:tcW w:w="1337" w:type="dxa"/>
          </w:tcPr>
          <w:p>
            <w:pPr>
              <w:spacing w:after="40"/>
            </w:pPr>
            <w:r/>
            <w:r>
              <w:rPr>
                <w:sz w:val="20"/>
              </w:rPr>
              <w:t>15.4</w:t>
            </w:r>
          </w:p>
        </w:tc>
      </w:tr>
      <w:tr>
        <w:tc>
          <w:tcPr>
            <w:tcW w:type="dxa" w:w="1337"/>
            <w:tcW w:w="1337" w:type="dxa"/>
          </w:tcPr>
          <w:p>
            <w:pPr>
              <w:spacing w:after="40"/>
            </w:pPr>
            <w:r/>
            <w:r>
              <w:rPr>
                <w:sz w:val="20"/>
              </w:rPr>
              <w:t>Advanced</w:t>
            </w:r>
          </w:p>
        </w:tc>
        <w:tc>
          <w:tcPr>
            <w:tcW w:type="dxa" w:w="1337"/>
            <w:tcW w:w="1337" w:type="dxa"/>
          </w:tcPr>
          <w:p>
            <w:pPr>
              <w:spacing w:after="40"/>
            </w:pPr>
            <w:r/>
            <w:r>
              <w:rPr>
                <w:sz w:val="20"/>
              </w:rPr>
              <w:t>DeepSeek-R1 8B</w:t>
            </w:r>
          </w:p>
        </w:tc>
        <w:tc>
          <w:tcPr>
            <w:tcW w:type="dxa" w:w="1337"/>
            <w:tcW w:w="1337" w:type="dxa"/>
          </w:tcPr>
          <w:p>
            <w:pPr>
              <w:spacing w:after="40"/>
            </w:pPr>
            <w:r/>
            <w:r>
              <w:rPr>
                <w:sz w:val="20"/>
              </w:rPr>
              <w:t>0.33</w:t>
            </w:r>
          </w:p>
        </w:tc>
        <w:tc>
          <w:tcPr>
            <w:tcW w:type="dxa" w:w="1337"/>
            <w:tcW w:w="1337" w:type="dxa"/>
          </w:tcPr>
          <w:p>
            <w:pPr>
              <w:spacing w:after="40"/>
            </w:pPr>
            <w:r/>
            <w:r>
              <w:rPr>
                <w:sz w:val="20"/>
              </w:rPr>
              <w:t>0.30</w:t>
            </w:r>
          </w:p>
        </w:tc>
        <w:tc>
          <w:tcPr>
            <w:tcW w:type="dxa" w:w="1337"/>
            <w:tcW w:w="1337" w:type="dxa"/>
          </w:tcPr>
          <w:p>
            <w:pPr>
              <w:spacing w:after="40"/>
            </w:pPr>
            <w:r/>
            <w:r>
              <w:rPr>
                <w:sz w:val="20"/>
              </w:rPr>
              <w:t>0.98</w:t>
            </w:r>
          </w:p>
        </w:tc>
        <w:tc>
          <w:tcPr>
            <w:tcW w:type="dxa" w:w="1337"/>
            <w:tcW w:w="1337" w:type="dxa"/>
          </w:tcPr>
          <w:p>
            <w:pPr>
              <w:spacing w:after="40"/>
            </w:pPr>
            <w:r/>
            <w:r>
              <w:rPr>
                <w:sz w:val="20"/>
              </w:rPr>
              <w:t>0.28</w:t>
            </w:r>
          </w:p>
        </w:tc>
        <w:tc>
          <w:tcPr>
            <w:tcW w:type="dxa" w:w="1337"/>
            <w:tcW w:w="1337" w:type="dxa"/>
          </w:tcPr>
          <w:p>
            <w:pPr>
              <w:spacing w:after="40"/>
            </w:pPr>
            <w:r/>
            <w:r>
              <w:rPr>
                <w:sz w:val="20"/>
              </w:rPr>
              <w:t>82.6</w:t>
            </w:r>
          </w:p>
        </w:tc>
      </w:tr>
    </w:tbl>
    <w:p>
      <w:pPr>
        <w:spacing w:after="80"/>
      </w:pPr>
    </w:p>
    <w:p>
      <w:r>
        <w:t>Two observations are notable. The original report already found Basic ahead of Advanced on every model, the same conclusion this revision reaches, so the overall direction has not changed. But the absolute numbers differ sharply, and the difference is largest for the Advanced pipeline. The original report reported its context precision as 0.29; for the same pipeline on the same questions, we now measure 0.690 (Table 5).</w:t>
      </w:r>
    </w:p>
    <w:p>
      <w:r>
        <w:t>That gap is a measurement error, not a change in system behavior. The Advanced pipeline retrieved the same chunks as Basic, but logged them in a format that drove the ranking metrics toward zero. Re-scoring the identical retrieval from a correct log restores Advanced's precision and recall to Basic's range, which removes most of the precision gap reported originally. §7.1 details the mechanism.</w:t>
      </w:r>
    </w:p>
    <w:p>
      <w:r>
        <w:t xml:space="preserve">The logging bug did not affect Basic, yet its scores still changed: context recall rose from 0.54 to 0.80 and precision from 0.62 to 0.74. These gains come from fixing the prototype and hardening the evaluation. The re-evaluation repaired a retrieval defect, fixed the retrieval depth at k = 4, logged the retrieved context as a proper chunk list, and held a single judge constant across all runs. The embedding model was </w:t>
      </w:r>
      <w:r>
        <w:rPr>
          <w:rFonts w:ascii="Consolas" w:hAnsi="Consolas"/>
          <w:sz w:val="20"/>
        </w:rPr>
        <w:t>all-mpnet-base-v2</w:t>
      </w:r>
      <w:r>
        <w:t xml:space="preserve"> in both the original prototype and this re-evaluation; the original report's reference to "embeddinggemma" was a labelling error (§7.2.4), not a system change. The result is a Basic baseline whose context precision and recall are measured accurately, so improvements can target specific weaknesses and each change can be validated against a reliable score.</w:t>
      </w:r>
    </w:p>
    <w:p>
      <w:r>
        <w:t>The two evaluations differ in measurement methodology: a repaired retrieval path, chunk-list context logging, and a single judge held constant across runs. The absolute values in Table 4 are therefore not directly comparable to the re-evaluation results reported elsewhere in this report. Only the within-evaluation ordering is comparable, and it is consistent: Basic outperforms Advanced in both.</w:t>
      </w:r>
    </w:p>
    <w:p>
      <w:pPr>
        <w:pStyle w:val="Heading1"/>
      </w:pPr>
      <w:r>
        <w:t>6. Results and Discussion</w:t>
      </w:r>
    </w:p>
    <w:p>
      <w:pPr>
        <w:pStyle w:val="Heading2"/>
      </w:pPr>
      <w:r>
        <w:t>6.1 Architecture Comparison</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6_r3_comparison.png"/>
                    <pic:cNvPicPr/>
                  </pic:nvPicPr>
                  <pic:blipFill>
                    <a:blip r:embed="rId16"/>
                    <a:stretch>
                      <a:fillRect/>
                    </a:stretch>
                  </pic:blipFill>
                  <pic:spPr>
                    <a:xfrm>
                      <a:off x="0" y="0"/>
                      <a:ext cx="5303520" cy="2946400"/>
                    </a:xfrm>
                    <a:prstGeom prst="rect"/>
                  </pic:spPr>
                </pic:pic>
              </a:graphicData>
            </a:graphic>
          </wp:inline>
        </w:drawing>
      </w:r>
    </w:p>
    <w:p>
      <w:pPr>
        <w:jc w:val="center"/>
      </w:pPr>
      <w:r>
        <w:rPr>
          <w:i/>
          <w:color w:val="555555"/>
          <w:sz w:val="19"/>
        </w:rPr>
        <w:t>Figure 7. The final-evaluation comparison of Basic, Advanced v1, and Advanced v2 across four quality metrics (llama3:8b, n=195).</w:t>
      </w:r>
    </w:p>
    <w:p>
      <w:r>
        <w:rPr>
          <w:b/>
        </w:rPr>
        <w:t>Table 5.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so all three pipelines ground their answers well in whatever context they receive. The differences between them lie in how each pipeline selects and uses context, not in raw grounding. Latency rises sharply with complexity, reaching 3.8 times and 5.2 times the Basic pipeline's response time.</w:t>
      </w:r>
    </w:p>
    <w:p>
      <w:pPr>
        <w:pStyle w:val="Heading2"/>
      </w:pPr>
      <w:r>
        <w:t>6.2 Metric-by-Metric Analysis</w:t>
      </w:r>
    </w:p>
    <w:p>
      <w:r>
        <w:t>On context precision and recall, the Basic pipeline retrieves focused, on-topic context, scoring 0.74 on precision and 0.80 on recall. Advanced v1 loses recall, dropping to 0.67, and Advanced v2 loses precision substantially, to 0.45. §6.4 attributes each loss to a specific stage of the pipeline.</w:t>
      </w:r>
    </w:p>
    <w:p>
      <w:r>
        <w:t>Faithfulness is uniformly high, between 0.91 and 0.95, so grounding is not the source of difficulty. When these models are provided with context, they rarely contradict it. This argues against weak reasoning as the primary failure mode, and against fine-tuning as the first lever to consider.</w:t>
      </w:r>
    </w:p>
    <w:p>
      <w:r>
        <w:t>Answer correctness is approximately 0.47 for all three architectures on the base model. §6.4 explains the ceiling, and §7.2 shows how improved retrieval raises it to 0.689 without any change to the model.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3_latency.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9"/>
        </w:rPr>
        <w:t>Figure 8. Mean latency per question, in seconds, measured on the re-evaluation laptop (Intel Arc Pro 140T). These are not comparable to the original report's RTX-4090 timings, and the API runs marked with an asterisk use hosted GPUs that are not comparable to the local runs either.</w:t>
      </w:r>
    </w:p>
    <w:p>
      <w:pPr>
        <w:pStyle w:val="Heading2"/>
      </w:pPr>
      <w:r>
        <w:t>6.3 The Value of Retrieval: An Ablation Study</w:t>
      </w:r>
    </w:p>
    <w:p>
      <w:r>
        <w:t>Two questions about whether the system justifies its complexity merit direct examination. First, does RAG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fig7_value_added.png"/>
                    <pic:cNvPicPr/>
                  </pic:nvPicPr>
                  <pic:blipFill>
                    <a:blip r:embed="rId18"/>
                    <a:stretch>
                      <a:fillRect/>
                    </a:stretch>
                  </pic:blipFill>
                  <pic:spPr>
                    <a:xfrm>
                      <a:off x="0" y="0"/>
                      <a:ext cx="5303520" cy="3119718"/>
                    </a:xfrm>
                    <a:prstGeom prst="rect"/>
                  </pic:spPr>
                </pic:pic>
              </a:graphicData>
            </a:graphic>
          </wp:inline>
        </w:drawing>
      </w:r>
    </w:p>
    <w:p>
      <w:pPr>
        <w:jc w:val="center"/>
      </w:pPr>
      <w:r>
        <w:rPr>
          <w:i/>
          <w:color w:val="555555"/>
          <w:sz w:val="19"/>
        </w:rPr>
        <w:t>Figure 9. Answer correctness by condition (n=195). Retrieval lifts correctness sharply for both the open and the closed generator. The retrieval-only bar is high only as an artifact of how G-Eval scores answer correctness: it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6.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helps both the open and the closed generator. Holding the generator fixed, retrieval lifts answer correctness from 0.202 to 0.689 for the local open model, a gain of +0.49, and from 0.490 to 0.774 for the strong closed model, a gain of +0.28. Retrieval adds substantial accuracy even to the closed model that scores best without it. On this corpus the deployable open 8B model is nearly unusable without retrieval, which provides the empirical justification the design requires. The result is also consistent with the often-cited NAEP finding (Wei, 2024) that a much larger closed model (GPT-4o) scored well without retrieval: the two observations are consistent once model scale is accounted for, since our own closed-book closed model is far stronger than the open one (0.490 against 0.202) yet still gains +0.28 from retrieval here. For the open model this project targets, retrieval is essential; even for the strongest closed model, it remains clearly beneficial.</w:t>
      </w:r>
    </w:p>
    <w:p>
      <w:r>
        <w:t>The generation result needs a careful reading. At face value the retrieval-only condition scores 0.827, above full RAG, which would suggest the generator has negative value. This is not true. The number is a scoring artifact (Figure 9): the retrieval-only "answer" is a roughly 4,000-character dump of the top chunks, and the answer-correctness metric rewards how many reference facts are present without penalizing length. A long dump that contains the gold facts scores well, while the generator's short synthesis loses points whenever it leaves out a fact to stay concise. A 4,000-character dump is not a usable answer, so the two conditions are not comparable. This fits the rest of the report: the system is limited by retrieval, not by generation. Once the right chunks are retrieved the facts are there, and the generator turns them into a short, attributable answer. Experts in the domain may do fine with the raw chunks, however non-experts need the synthesis. Measuring what the generator adds would require a concision or usability metric, not fact coverage alone (§8.3).</w:t>
      </w:r>
    </w:p>
    <w:p>
      <w:pPr>
        <w:pStyle w:val="Heading2"/>
      </w:pPr>
      <w:r>
        <w:t>6.4 Locating the Performance Bottlenecks</w:t>
      </w:r>
    </w:p>
    <w:p>
      <w:r>
        <w:t>It is important to identify which stage of the advanced pipeline fails — decomposition, retrieval, reranking, or synthesis — rather than relying on competing explanations. The data localizes each loss to a specific, measured mechanism, and the conclusion is that the problem lies in retrieval and orchestration rather than in the small model's reasoning, since faithfulness is high everywhere.</w:t>
      </w:r>
    </w:p>
    <w:p>
      <w:r>
        <w:t xml:space="preserve">The first loss is in Advanced v1, where the grader degrades recall. Its </w:t>
      </w:r>
      <w:r>
        <w:rPr>
          <w:rFonts w:ascii="Consolas" w:hAnsi="Consolas"/>
          <w:sz w:val="20"/>
        </w:rPr>
        <w:t>gemma3:1b</w:t>
      </w:r>
      <w:r>
        <w:t xml:space="preserve"> document grader activates on 87 of the 195 questions. Where it drops chunks, recall collapses to 0.486, against 0.819 when it keeps all four, and precision falls as well. A weak 1B model removes answer-bearing chunks and retains inferior ones, making it a net-negative filter.</w:t>
      </w:r>
    </w:p>
    <w:p>
      <w:pPr>
        <w:spacing w:before="120" w:after="40"/>
        <w:jc w:val="center"/>
      </w:pPr>
      <w:r>
        <w:drawing>
          <wp:inline xmlns:a="http://schemas.openxmlformats.org/drawingml/2006/main" xmlns:pic="http://schemas.openxmlformats.org/drawingml/2006/picture">
            <wp:extent cx="5303520" cy="3250545"/>
            <wp:docPr id="10" name="Picture 10"/>
            <wp:cNvGraphicFramePr>
              <a:graphicFrameLocks noChangeAspect="1"/>
            </wp:cNvGraphicFramePr>
            <a:graphic>
              <a:graphicData uri="http://schemas.openxmlformats.org/drawingml/2006/picture">
                <pic:pic>
                  <pic:nvPicPr>
                    <pic:cNvPr id="0" name="fig4_crag_recall_collapse.png"/>
                    <pic:cNvPicPr/>
                  </pic:nvPicPr>
                  <pic:blipFill>
                    <a:blip r:embed="rId19"/>
                    <a:stretch>
                      <a:fillRect/>
                    </a:stretch>
                  </pic:blipFill>
                  <pic:spPr>
                    <a:xfrm>
                      <a:off x="0" y="0"/>
                      <a:ext cx="5303520" cy="3250545"/>
                    </a:xfrm>
                    <a:prstGeom prst="rect"/>
                  </pic:spPr>
                </pic:pic>
              </a:graphicData>
            </a:graphic>
          </wp:inline>
        </w:drawing>
      </w:r>
    </w:p>
    <w:p>
      <w:pPr>
        <w:jc w:val="center"/>
      </w:pPr>
      <w:r>
        <w:rPr>
          <w:i/>
          <w:color w:val="555555"/>
          <w:sz w:val="19"/>
        </w:rPr>
        <w:t>Figure 10. Context recall in Advanced v1, split by whether the gemma3:1b grader dropped chunks. Where the grader fires, recall collapses from 0.819 to 0.486.</w:t>
      </w:r>
    </w:p>
    <w:p>
      <w:r>
        <w:t>The second loss is in Advanced v2, where per-sub-question retrieval degrades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Improved retrieval (§7.2) recovers many of these rows by surfacing the exact gold chunk, and a stronger generator (§7.2.3) addresses the remainder.</w:t>
      </w:r>
    </w:p>
    <w:p>
      <w:r>
        <w:t>Part of the precision and recall gap reported in the original report was also the logging artifact corrected in this revision and explained in §7.1. The practical implication is to invest in retrieval and orchestration, which §7.2 pursues and where the largest gains are found.</w:t>
      </w:r>
    </w:p>
    <w:p>
      <w:pPr>
        <w:pStyle w:val="Heading2"/>
      </w:pPr>
      <w:r>
        <w:t>6.5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a proper fix would require, we deferred high-fidelity table extraction; §8.3 lists the specialized parsers we would evaluate next.</w:t>
      </w:r>
    </w:p>
    <w:p>
      <w:pPr>
        <w:pStyle w:val="Heading2"/>
      </w:pPr>
      <w:r>
        <w:t>6.6 The Deployed User Interface</w:t>
      </w:r>
    </w:p>
    <w:p>
      <w:pPr>
        <w:spacing w:before="120" w:after="40"/>
        <w:jc w:val="center"/>
      </w:pPr>
      <w:r>
        <w:drawing>
          <wp:inline xmlns:a="http://schemas.openxmlformats.org/drawingml/2006/main" xmlns:pic="http://schemas.openxmlformats.org/drawingml/2006/picture">
            <wp:extent cx="5669280" cy="3050190"/>
            <wp:docPr id="11" name="Picture 11"/>
            <wp:cNvGraphicFramePr>
              <a:graphicFrameLocks noChangeAspect="1"/>
            </wp:cNvGraphicFramePr>
            <a:graphic>
              <a:graphicData uri="http://schemas.openxmlformats.org/drawingml/2006/picture">
                <pic:pic>
                  <pic:nvPicPr>
                    <pic:cNvPr id="0" name="orig_fig9_ui.png"/>
                    <pic:cNvPicPr/>
                  </pic:nvPicPr>
                  <pic:blipFill>
                    <a:blip r:embed="rId20"/>
                    <a:stretch>
                      <a:fillRect/>
                    </a:stretch>
                  </pic:blipFill>
                  <pic:spPr>
                    <a:xfrm>
                      <a:off x="0" y="0"/>
                      <a:ext cx="5669280" cy="3050190"/>
                    </a:xfrm>
                    <a:prstGeom prst="rect"/>
                  </pic:spPr>
                </pic:pic>
              </a:graphicData>
            </a:graphic>
          </wp:inline>
        </w:drawing>
      </w:r>
    </w:p>
    <w:p>
      <w:pPr>
        <w:jc w:val="center"/>
      </w:pPr>
      <w:r>
        <w:rPr>
          <w:i/>
          <w:color w:val="555555"/>
          <w:sz w:val="19"/>
        </w:rPr>
        <w:t>Figure 11.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2" name="Picture 12"/>
            <wp:cNvGraphicFramePr>
              <a:graphicFrameLocks noChangeAspect="1"/>
            </wp:cNvGraphicFramePr>
            <a:graphic>
              <a:graphicData uri="http://schemas.openxmlformats.org/drawingml/2006/picture">
                <pic:pic>
                  <pic:nvPicPr>
                    <pic:cNvPr id="0" name="orig_fig8_ui.png"/>
                    <pic:cNvPicPr/>
                  </pic:nvPicPr>
                  <pic:blipFill>
                    <a:blip r:embed="rId21"/>
                    <a:stretch>
                      <a:fillRect/>
                    </a:stretch>
                  </pic:blipFill>
                  <pic:spPr>
                    <a:xfrm>
                      <a:off x="0" y="0"/>
                      <a:ext cx="5669280" cy="3050190"/>
                    </a:xfrm>
                    <a:prstGeom prst="rect"/>
                  </pic:spPr>
                </pic:pic>
              </a:graphicData>
            </a:graphic>
          </wp:inline>
        </w:drawing>
      </w:r>
    </w:p>
    <w:p>
      <w:pPr>
        <w:jc w:val="center"/>
      </w:pPr>
      <w:r>
        <w:rPr>
          <w:i/>
          <w:color w:val="555555"/>
          <w:sz w:val="19"/>
        </w:rPr>
        <w:t>Figure 12. The expandable source-chunk inspector, showing the exact retrieved passages behind an answer. This directly addresses the survey's demand for verifiable, attributable answers, and each chunk can be traced back to its source document and page.</w:t>
      </w:r>
    </w:p>
    <w:p>
      <w:r>
        <w:t>We developed a Streamlit web interface that allows staff to query the PIRLS corpus and view both the answer and the underlying source chunks. It provides the controls between the local, privacy-preserving model (llama3:8b via Ollama) and an optional cloud API, a toggle for hybrid-plus-reranker retrieval, and a document-upload panel for ad-hoc corpora. Every answer carries provenance metadata — model, retrieval mode, response time, chunk count — alongside an expandable panel showing the exact source passages. A query such as "What is PIRLS?" returns an answer in about 17 seconds on the local model, with its four source chunks one click away. Grounded answers together with visible sources make the system auditable and suitable for institutional use.</w:t>
      </w:r>
    </w:p>
    <w:p>
      <w:r>
        <w:t>To make this concrete, the example below is one question from the evaluation set answered by the recommended configuration (Basic RAG with hybrid retrieval and bge reranking, local llama3:8b), reproduced verbatim from the run.</w:t>
      </w:r>
    </w:p>
    <w:p>
      <w:r>
        <w:rPr>
          <w:b/>
        </w:rPr>
        <w:t>Question.</w:t>
      </w:r>
      <w:r>
        <w:t xml:space="preserve"> _How are achievement items arranged in PIRLS 2021 assessments, and how are they linked for reporting proficiency?_</w:t>
      </w:r>
    </w:p>
    <w:p>
      <w:r>
        <w:rPr>
          <w:b/>
        </w:rPr>
        <w:t>Answer (llama3:8b).</w:t>
      </w:r>
      <w:r>
        <w:t xml:space="preserve"> _Achievement items in PIRLS 2021 assessments are arranged in blocks that are then assembled into student booklets containing different (but systematically overlapping) sets of item blocks. Statistical and psychometric methods are required to link these different booklets together so that student proficiency can be reported._</w:t>
      </w:r>
    </w:p>
    <w:p>
      <w:r>
        <w:rPr>
          <w:b/>
        </w:rPr>
        <w:t>Top source chunk (one of the four shown to the user).</w:t>
      </w:r>
      <w:r>
        <w:t xml:space="preserve"> _"…these achievement items are arranged in blocks that are then assembled into student booklets containing different (but systematically overlapping) sets of item blocks…" — from the </w:t>
      </w:r>
      <w:r>
        <w:rPr>
          <w:i/>
        </w:rPr>
        <w:t>Methods and Procedures</w:t>
      </w:r>
      <w:r>
        <w:t xml:space="preserve"> technical report (citing the PIRLS 2021 Assessment Design; Martin et al., 2019)._</w:t>
      </w:r>
    </w:p>
    <w:p>
      <w:r>
        <w:rPr>
          <w:b/>
        </w:rPr>
        <w:t>Retrieval and timing.</w:t>
      </w:r>
      <w:r>
        <w:t xml:space="preserve"> Four chunks retrieved; answered in about 24 seconds on the re-evaluation laptop. The judge scored the answer 1.00 on answer correctness and 1.00 on faithfulness, and every claim is traceable to the source chunk it came from. This is a methodological "how" question, the harder and under-sampled category (§4.4.1), yet the answer is concise and fully grounded in the retrieved source.</w:t>
      </w:r>
    </w:p>
    <w:p>
      <w:pPr>
        <w:pStyle w:val="Heading1"/>
      </w:pPr>
      <w:r>
        <w:t>7. System Improvements</w:t>
      </w:r>
    </w:p>
    <w:p>
      <w:pPr>
        <w:pStyle w:val="Heading2"/>
      </w:pPr>
      <w:r>
        <w:t>7.1 Evaluation Hardening</w:t>
      </w:r>
    </w:p>
    <w:p>
      <w:r>
        <w:t>The benchmark proceeded through three passes. Only the final pass supports valid comparison, and the progression explains the discrepancy with the original report's figures.</w:t>
      </w:r>
    </w:p>
    <w:p>
      <w:r>
        <w:t>The first pass used RAGAS and was abandoned partway through, after the harness hit a cascade of API-quota errors, local-judge timeouts, and library-version failures and never produced complete scores for the Advanced pipeline. In response we pinned the evaluation stack and made scoring resilient to single-row failures.</w:t>
      </w:r>
    </w:p>
    <w:p>
      <w:r>
        <w:t>The second pass moved to DeepEval and exposed a measurement artifact. The Advanced pipeline's retrieved context had been logged as a single concatenated blob rather than a list of separate chunks. Context precision and recall are ranking metrics computed over a list, so a single blob drives them toward zero and inflated the precision and recall gap in the original report. The cause is logging, not retrieval: the Advanced pipeline uses the same retriever and query as Basic and retrieves the same chunks, so the lower score reflects only how that text was recorded.</w:t>
      </w:r>
    </w:p>
    <w:p>
      <w:r>
        <w:t>This report relies on the third pass, which logs every system's context as a chunk list, fixes the retrieval bug, and holds the judge constant, making it the first trustworthy three-way comparison. Scores are comparable only within a pass, because the harness, embeddings, and judge all changed between passes. Faithfulness, for instance, rises between the first two passes, but that reflects the change of framework, not a real improvement.</w:t>
      </w:r>
    </w:p>
    <w:p>
      <w:pPr>
        <w:spacing w:before="120" w:after="4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fig1_metric_evolution.png"/>
                    <pic:cNvPicPr/>
                  </pic:nvPicPr>
                  <pic:blipFill>
                    <a:blip r:embed="rId22"/>
                    <a:stretch>
                      <a:fillRect/>
                    </a:stretch>
                  </pic:blipFill>
                  <pic:spPr>
                    <a:xfrm>
                      <a:off x="0" y="0"/>
                      <a:ext cx="5303520" cy="2651760"/>
                    </a:xfrm>
                    <a:prstGeom prst="rect"/>
                  </pic:spPr>
                </pic:pic>
              </a:graphicData>
            </a:graphic>
          </wp:inline>
        </w:drawing>
      </w:r>
    </w:p>
    <w:p>
      <w:pPr>
        <w:jc w:val="center"/>
      </w:pPr>
      <w:r>
        <w:rPr>
          <w:i/>
          <w:color w:val="555555"/>
          <w:sz w:val="19"/>
        </w:rPr>
        <w:t>Figure 13. Metric evolution across the evaluation passes and experiments for the Basic-family runs. The shaded RAGAS region is not comparable; the trustworthy comparison begins at the final pass.</w:t>
      </w:r>
    </w:p>
    <w:p>
      <w:pPr>
        <w:pStyle w:val="Heading2"/>
      </w:pPr>
      <w:r>
        <w:t>7.2 Improvement Levers</w:t>
      </w:r>
    </w:p>
    <w:p>
      <w:r>
        <w:t>A retrieval-only diagnostic demonstrates why retrieval is the most important lever. The gold-bearing chunk is in the top 4 only 63% of the time, but it is in the top 20 fully 87% of the time. The remedy is to retrieve broadly and then rerank, promoting the gold chunk into the few that the generator receives.</w:t>
      </w:r>
    </w:p>
    <w:p>
      <w:pPr>
        <w:pStyle w:val="Heading3"/>
      </w:pPr>
      <w:r>
        <w:t>7.2.1 Reranking</w:t>
      </w:r>
    </w:p>
    <w:p>
      <w:r>
        <w:t>Retrieving the top 20 candidates and re-scoring them with a  cross-encoder to keep the best 4 increases answer correctness from 0.473 to 0.625, a 32% gain. Precision rises from 0.741 to 0.837 and recall from 0.796 to 0.837. The gain concentrates on the 40 worst-retrieval rows, where mean precision rises from 0.127 to 0.531 and answer correctness from 0.185 to 0.333.</w:t>
      </w:r>
    </w:p>
    <w:p>
      <w:pPr>
        <w:spacing w:before="120" w:after="40"/>
        <w:jc w:val="center"/>
      </w:pPr>
      <w:r>
        <w:drawing>
          <wp:inline xmlns:a="http://schemas.openxmlformats.org/drawingml/2006/main" xmlns:pic="http://schemas.openxmlformats.org/drawingml/2006/picture">
            <wp:extent cx="5303520" cy="3598817"/>
            <wp:docPr id="14" name="Picture 14"/>
            <wp:cNvGraphicFramePr>
              <a:graphicFrameLocks noChangeAspect="1"/>
            </wp:cNvGraphicFramePr>
            <a:graphic>
              <a:graphicData uri="http://schemas.openxmlformats.org/drawingml/2006/picture">
                <pic:pic>
                  <pic:nvPicPr>
                    <pic:cNvPr id="0" name="fig5_rerank_worstcase.png"/>
                    <pic:cNvPicPr/>
                  </pic:nvPicPr>
                  <pic:blipFill>
                    <a:blip r:embed="rId23"/>
                    <a:stretch>
                      <a:fillRect/>
                    </a:stretch>
                  </pic:blipFill>
                  <pic:spPr>
                    <a:xfrm>
                      <a:off x="0" y="0"/>
                      <a:ext cx="5303520" cy="3598817"/>
                    </a:xfrm>
                    <a:prstGeom prst="rect"/>
                  </pic:spPr>
                </pic:pic>
              </a:graphicData>
            </a:graphic>
          </wp:inline>
        </w:drawing>
      </w:r>
    </w:p>
    <w:p>
      <w:pPr>
        <w:jc w:val="center"/>
      </w:pPr>
      <w:r>
        <w:rPr>
          <w:i/>
          <w:color w:val="555555"/>
          <w:sz w:val="19"/>
        </w:rPr>
        <w:t>Figure 14. The effect of reranking on the 40 worst-retrieval rows: mean precision and answer correctness both rise substantially, which is where the overall gain comes from.</w:t>
      </w:r>
    </w:p>
    <w:p>
      <w:pPr>
        <w:pStyle w:val="Heading3"/>
      </w:pPr>
      <w:r>
        <w:t>7.2.2 Hybrid Retrieval</w:t>
      </w:r>
    </w:p>
    <w:p>
      <w:r>
        <w:t>Adding sparse BM25 retrieval, fused with the dense retriever through reciprocal rank fusion and then reranked, increases answer correctness further, from 0.625 to 0.689, and raises recall to 0.909, the highest of any run. Lexical BM25 captures exact terms, such as country names and program acronyms, that the dense encoder misses. This is the best open and local configuration, at 0.689, and it runs on the free local model. It exceeds even a closed model using plain reranking, which scores 0.652 — direct evidence that retrieval, not generator size, is the dominant lever.</w:t>
      </w:r>
    </w:p>
    <w:p>
      <w:pPr>
        <w:pStyle w:val="Heading3"/>
      </w:pPr>
      <w:r>
        <w:t>7.2.3 Generator Strength: Open vs Closed</w:t>
      </w:r>
    </w:p>
    <w:p>
      <w:r>
        <w:t>With the best retrieval held fixed, varying the generator constitutes a genuine, additive second lever.</w:t>
      </w:r>
    </w:p>
    <w:p>
      <w:r>
        <w:rPr>
          <w:b/>
        </w:rPr>
        <w:t>Table 7.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§4.2, and it is an optional tier for non-sensitive, accuracy-critical queries. It is not the recommended private deployment; that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7.2.4 Chunking, Embedding, and Data Leakage</w:t>
      </w:r>
    </w:p>
    <w:p>
      <w:r>
        <w:t xml:space="preserve">Three further levers proved minor. Chunk granularity is not the binding constraint: re-indexing at 512/64 instead of 1000/100 barely changed answer correctness (0.473 to 0.488). The embedding model is </w:t>
      </w:r>
      <w:r>
        <w:rPr>
          <w:rFonts w:ascii="Consolas" w:hAnsi="Consolas"/>
          <w:sz w:val="20"/>
        </w:rPr>
        <w:t>sentence-transformers/all-mpnet-base-v2</w:t>
      </w:r>
      <w:r>
        <w:t>; the original report's "embeddinggemma" label was an error, and because hybrid retrieval (§7.2.2) already covers a dense encoder's exact-term weakness, swapping it is a low priority. Finally, the original 300-item pool fully contains the 195 evaluation items, so the evaluation set is used unchanged throughout and fine-tuning is not a near-term lever. Appendix B gives the chunking, embedding, and data-leakage specifics.</w:t>
      </w:r>
    </w:p>
    <w:p>
      <w:pPr>
        <w:pStyle w:val="Heading2"/>
      </w:pPr>
      <w:r>
        <w:t>7.3 Revising the Advanced Architecture</w:t>
      </w:r>
    </w:p>
    <w:p>
      <w:r>
        <w:t>Advanced v3 targets the two failures diagnosed in §6.4: v1's grader, which drops answer-bearing chunks and collapses recall, and v2's per-sub-question retrieval, which adds off-topic chunks and collapses precision. The problem is not decomposition itself but how these two versions implement it.</w:t>
      </w:r>
    </w:p>
    <w:p>
      <w:r>
        <w:t>Building on the best retriever from §7.2, Advanced v3 (Figure 5) applies four fixes, each aimed at one of those measured failures:</w:t>
      </w:r>
    </w:p>
    <w:p>
      <w:pPr>
        <w:ind w:left="432" w:hanging="432"/>
      </w:pPr>
      <w:r>
        <w:t>1. Reranker-score thresholding replaces v1's binary grader, fixing the recall collapse.</w:t>
      </w:r>
    </w:p>
    <w:p>
      <w:pPr>
        <w:ind w:left="432" w:hanging="432"/>
      </w:pPr>
      <w:r>
        <w:t>2. Reranking the per-sub-question union against the original query fixes v2's precision collapse.</w:t>
      </w:r>
    </w:p>
    <w:p>
      <w:pPr>
        <w:ind w:left="432" w:hanging="432"/>
      </w:pPr>
      <w:r>
        <w:t>3. Adaptive decomposition routes single-hop questions straight to a direct answer and decomposes only genuine multi-hop ones.</w:t>
      </w:r>
    </w:p>
    <w:p>
      <w:pPr>
        <w:ind w:left="432" w:hanging="432"/>
      </w:pPr>
      <w:r>
        <w:t>4. Synthesis draws from the reranked context rather than the separate sub-answers, so facts are not lost across steps.</w:t>
      </w:r>
    </w:p>
    <w:p>
      <w:r>
        <w:t>The results, on the same 195 questions with the hybrid-plus-bge reranker and a mean latency of about 9.9 seconds per query, are below.</w:t>
      </w:r>
    </w:p>
    <w:p>
      <w:r>
        <w:rPr>
          <w:b/>
        </w:rPr>
        <w:t>Table 8.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model, Advanced v3 reaches an answer correctness of 0.780. That is effectively identical to the Basic pipeline on the same generator and retriever, which scores 0.774 (§7.2.3); the 0.006 gap is well within run-to-run variation. Advanced v3 also comes at higher latency, about 9.9 against 7.9 seconds per query, and materially more engineering complexity. The four fixes achieved precisely what §6.4 predicted which is closing the recall and precision gap between v1's grader and v2's per-sub-question retrieval raised the agentic pipeline from a net-negative architecture to parity with Basic. Hoever, they did not surpass it. The interpretation is consistent with the rest of the report. Once retrieval is fixed with hybrid fusion and reranking, the system is generation-bound, Additionaly, the agentic orchestration adds cost without adding accuracy on this corpus. We therefore continue to recommend Basic RAG for deployment. The full experiment matrix is in Appendix B.</w:t>
      </w:r>
    </w:p>
    <w:p>
      <w:pPr>
        <w:pStyle w:val="Heading1"/>
      </w:pPr>
      <w:r>
        <w:t>8. Recommendations and Future Work</w:t>
      </w:r>
    </w:p>
    <w:p>
      <w:pPr>
        <w:pStyle w:val="Heading2"/>
      </w:pPr>
      <w:r>
        <w:t>8.1 Recommended Deployment</w:t>
      </w:r>
    </w:p>
    <w:p>
      <w:r>
        <w:t>We recommend deploying Basic RAG with hybrid (BM25 plus dense) retrieval and cross-encoder reranking, using the local open llama3:8b generator as the private default. That configuration scores 0.689 on answer correctness and returns an answer in roughly 20 seconds on the re-evaluation laptop, within the 30-second threshold that 80% of staff stated they would accept. Latency will differ on production hardware.</w:t>
      </w:r>
    </w:p>
    <w:p>
      <w:pPr>
        <w:spacing w:before="120" w:after="40"/>
        <w:jc w:val="center"/>
      </w:pPr>
      <w:r>
        <w:drawing>
          <wp:inline xmlns:a="http://schemas.openxmlformats.org/drawingml/2006/main" xmlns:pic="http://schemas.openxmlformats.org/drawingml/2006/picture">
            <wp:extent cx="4389120" cy="3907733"/>
            <wp:docPr id="15" name="Picture 15"/>
            <wp:cNvGraphicFramePr>
              <a:graphicFrameLocks noChangeAspect="1"/>
            </wp:cNvGraphicFramePr>
            <a:graphic>
              <a:graphicData uri="http://schemas.openxmlformats.org/drawingml/2006/picture">
                <pic:pic>
                  <pic:nvPicPr>
                    <pic:cNvPr id="0" name="fig_recommended.png"/>
                    <pic:cNvPicPr/>
                  </pic:nvPicPr>
                  <pic:blipFill>
                    <a:blip r:embed="rId24"/>
                    <a:stretch>
                      <a:fillRect/>
                    </a:stretch>
                  </pic:blipFill>
                  <pic:spPr>
                    <a:xfrm>
                      <a:off x="0" y="0"/>
                      <a:ext cx="4389120" cy="3907733"/>
                    </a:xfrm>
                    <a:prstGeom prst="rect"/>
                  </pic:spPr>
                </pic:pic>
              </a:graphicData>
            </a:graphic>
          </wp:inline>
        </w:drawing>
      </w:r>
    </w:p>
    <w:p>
      <w:pPr>
        <w:jc w:val="center"/>
      </w:pPr>
      <w:r>
        <w:rPr>
          <w:i/>
          <w:color w:val="555555"/>
          <w:sz w:val="19"/>
        </w:rPr>
        <w:t>Figure 15. The recommended production pipeline: a single-pass (Basic) RAG pipeline with hybrid retrieval (BM25 + dense, fused by reciprocal rank fusion) and cross-encoder reranking, generating with a local llama3:8b model. The two highlighted retrieval stages supply the accuracy gains over dense-only retrieval (§7.2).</w:t>
      </w:r>
    </w:p>
    <w:p>
      <w:r>
        <w:t>Figure 15 shows the pipeline. Each query runs through two retrievers in parallel: BM25 for exact terms such as country names and study acronyms, and a dense embedding model for sematic meaning. Their results are merged by reciprocal rank fusion into a 20-chunk candidate set, and a cross-encoder reranker re-scores those candidates to keep the best four. The four chunks are passed to a local llama3:8b generator, which returns the answer together with the source chunks behind it. The pipeline stays single-pass — no query decomposition and no document grading — so it keeps the Basic pipeline's low latency, while the two retrieval stages supply the accuracy gains documented in §7.2. Every stage runs on local hardware, so no query or document leaves the premises.</w:t>
      </w:r>
    </w:p>
    <w:p>
      <w:r>
        <w:t>As §7.3 concluded, the agentic pipeline is not recommended for deployment. The closed gpt-5.4-mini model should be offered only as an optional higher-accuracy tier for non-sensitive queries.</w:t>
      </w:r>
    </w:p>
    <w:p>
      <w:pPr>
        <w:pStyle w:val="Heading2"/>
      </w:pPr>
      <w:r>
        <w:t>8.2 Deployment Model</w:t>
      </w:r>
    </w:p>
    <w:p>
      <w:r>
        <w:t>The prototype ran on a single laptop, which determines the latency figures in this report. For organizational use we recommend a local network server rather than per-user installations. A single on-premises GPU server would host the model and the vector index and serve the existing web interface to staff browsers. That keeps data on-premises, centralizes index updates and it could host a larger local model than a laptop can, which would help address the sub-10B accuracy ceiling. The cloud closed-model tier from §7.2.3 is reserved for non-sensitive queries.</w:t>
      </w:r>
    </w:p>
    <w:p>
      <w:pPr>
        <w:pStyle w:val="Heading2"/>
      </w:pPr>
      <w:r>
        <w:t>8.3 Future Work</w:t>
      </w:r>
    </w:p>
    <w:p>
      <w:r>
        <w:t>These findings point to several next steps.</w:t>
      </w:r>
    </w:p>
    <w:p>
      <w:r>
        <w:t>The most important is human-expert evaluation. Subject-matter experts should grade a representative subset, both to calibrate the LLM judge and to test whether a given score is good enough for professional use. One observation lessens the concern in the meantime: the best configuration scores 0.774 on answer correctness and 0.865 on precision, both well clear of the 0.5 adequacy mark. A formal expert study remains the right next step.</w:t>
      </w:r>
    </w:p>
    <w:p>
      <w:r>
        <w:t>The evaluation set also needs more reasoning-heavy questions. It is currently about 68% fact-retrieval and under-samples methodological "why and how" questions (§4.4.1). A follow-up evaluation set should include more questions on sampling design, weighting, and plausible values.</w:t>
      </w:r>
    </w:p>
    <w:p>
      <w:r>
        <w:t>Retrieval can likely be improved further. Contextual retrieval (Anthropic, 2024) prepends a short LLM-generated summary to each chunk before embedding, so the chunk keeps the document context that plain chunking removes. Anthropic reports that this cuts retrieval failures substantially. It applies on top of the recommended hybrid-plus-rerank stack and costs only a one-time indexing pass with the local model.</w:t>
      </w:r>
    </w:p>
    <w:p>
      <w:r>
        <w:t>Three engineering directions would also help:</w:t>
      </w:r>
    </w:p>
    <w:p>
      <w:pPr>
        <w:pStyle w:val="ListBullet"/>
      </w:pPr>
      <w:r>
        <w:t>A concision or usability metric, because the current fact-coverage metric rewards a raw chunk dump as highly as a concise answer and cannot credit what the generator adds (§6.3).</w:t>
      </w:r>
    </w:p>
    <w:p>
      <w:pPr>
        <w:pStyle w:val="ListBullet"/>
      </w:pPr>
      <w:r>
        <w:t>High-fidelity table extraction, using specialized parsers (Docling, Auer et al., 2024; Marker; PaddleOCR's PP-StructureV2, Li et al., 2022) or vision-based RAG that retrieves over page images and skips text extraction entirely (ColPali, Faysse et al., 2024; VisRAG, Yu et al., 2025), for the table problem (§6.5).</w:t>
      </w:r>
    </w:p>
    <w:p>
      <w:pPr>
        <w:pStyle w:val="ListBullet"/>
      </w:pPr>
      <w:r>
        <w:t>Latency optimization through quantization (AWQ; Lin et al., 2024), efficient serving (vLLM; Kwon et al., 2023), and prefix caching (SGLang; Zheng et al., 2024), to push the local tier below 10 seconds and make room for larger models on a server.</w:t>
      </w:r>
    </w:p>
    <w:p>
      <w:pPr>
        <w:pStyle w:val="Heading2"/>
      </w:pPr>
      <w:r>
        <w:t>8.4 Limitations</w:t>
      </w:r>
    </w:p>
    <w:p>
      <w:r>
        <w:t>The results are bounded in several ways. Three bound how far they generalize and directly motivate the future work above (§8.3): the corpus is single-domain and public (PIRLS), the LLM judge is not yet calibrated against human experts, and the question set is weighted toward fact-retrieval. Three further caveats concern the measurements themselves. PDF-to-text preprocessing introduces artifacts, most visibly in tables (§6.5). We did not run formal significance tests, so small differences in answer correctness (a few hundredths of a point) should be read as run-to-run variation rather than real gaps. And latency is hardware-specific: the re-evaluation ran on a less capable laptop (Intel Arc Pro 140T, 32 GB) than the original RTX-4090 prototype, so response times are not comparable across the two reports and are used only for relative comparison within the re-evaluation runs.</w:t>
      </w:r>
    </w:p>
    <w:p>
      <w:pPr>
        <w:pStyle w:val="Heading1"/>
      </w:pPr>
      <w:r>
        <w:t>9. Conclusion</w:t>
      </w:r>
    </w:p>
    <w:p>
      <w:r>
        <w:t>A locally-hosted RAG system over PIRLS documentation is feasible on local hardware, and it meets the three requirements the staff survey identified: privacy through on-premises deployment, source-attributed answers, and a usable web interface. The central finding, supported throughout, is that retrieval quality rather than pipeline complexity determines answer quality. Cross-encoder reranking and hybrid retrieval together raised answer correctness from 0.47 to 0.69 on the free local model, and a value-added ablation confirms that retrieval accounts for most of the system's usefulness. The more complex agentic pipeline did not outperform the simple one: even a purpose-built rerank-aware redesign (Advanced v3), which repaired the failures that had made the earlier versions net-negative, only reached parity with Basic on the same generator (0.780 against 0.774), at higher latency and greater complexity.</w:t>
      </w:r>
    </w:p>
    <w:p>
      <w:r>
        <w:t>The path forward is therefore clear. We recommend deploying Basic RAG with hybrid retrieval and a local open generator as the private default, offering the closed gpt-5.4-mini model only as a higher-accuracy tier for non-sensitive queries. Two tasks remain beyond this phase: a calibrated human-expert evaluation to confirm the scores are sufficient for professional use, and validation on internal, non-public documents to demonstrate the privacy premise on the material it is meant to protect. With those in place, the prototype can move from proof of concept to a production, privacy-preserving knowledge-management tool for IEA.</w:t>
      </w:r>
    </w:p>
    <w:p>
      <w:pPr>
        <w:pStyle w:val="Heading1"/>
      </w:pPr>
      <w:r>
        <w:t>10. References</w:t>
      </w:r>
    </w:p>
    <w:p>
      <w:r>
        <w:t xml:space="preserve">Anthropic. (2024). </w:t>
      </w:r>
      <w:r>
        <w:rPr>
          <w:i/>
        </w:rPr>
        <w:t>Introducing contextual retrieval.</w:t>
      </w:r>
      <w:r>
        <w:t xml:space="preserve"> https://www.anthropic.com/news/contextual-retrieval</w:t>
      </w:r>
    </w:p>
    <w:p>
      <w:r>
        <w:t xml:space="preserve">Asai, A., Wu, Z., Wang, Y., Sil, A., &amp; Hajishirzi, H. (2023). </w:t>
      </w:r>
      <w:r>
        <w:rPr>
          <w:i/>
        </w:rPr>
        <w:t>Self-RAG: Learning to retrieve, generate, and critique through self-reflection.</w:t>
      </w:r>
      <w:r>
        <w:t xml:space="preserve"> arXiv:2310.11511.</w:t>
      </w:r>
    </w:p>
    <w:p>
      <w:r>
        <w:t xml:space="preserve">Auer, C., et al. (2024). </w:t>
      </w:r>
      <w:r>
        <w:rPr>
          <w:i/>
        </w:rPr>
        <w:t>Docling technical report.</w:t>
      </w:r>
      <w:r>
        <w:t xml:space="preserve"> arXiv:2408.09869.</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Kwon, W., et al. (2023). </w:t>
      </w:r>
      <w:r>
        <w:rPr>
          <w:i/>
        </w:rPr>
        <w:t>Efficient memory management for large language model serving with PagedAttention.</w:t>
      </w:r>
      <w:r>
        <w:t xml:space="preserve"> SOSP. arXiv:2309.06180.</w:t>
      </w:r>
    </w:p>
    <w:p>
      <w:r>
        <w:t xml:space="preserve">Lewis, P., et al. (2020). </w:t>
      </w:r>
      <w:r>
        <w:rPr>
          <w:i/>
        </w:rPr>
        <w:t>Retrieval-augmented generation for knowledge-intensive NLP tasks.</w:t>
      </w:r>
      <w:r>
        <w:t xml:space="preserve"> NeurIPS. arXiv:2005.11401.</w:t>
      </w:r>
    </w:p>
    <w:p>
      <w:r>
        <w:t xml:space="preserve">Li, C., et al. (2022). </w:t>
      </w:r>
      <w:r>
        <w:rPr>
          <w:i/>
        </w:rPr>
        <w:t>PP-StructureV2: A stronger document analysis system.</w:t>
      </w:r>
      <w:r>
        <w:t xml:space="preserve"> arXiv:2210.05391.</w:t>
      </w:r>
    </w:p>
    <w:p>
      <w:r>
        <w:t xml:space="preserve">Lin, J., et al. (2024). </w:t>
      </w:r>
      <w:r>
        <w:rPr>
          <w:i/>
        </w:rPr>
        <w:t>AWQ: Activation-aware weight quantization for LLM compression and acceleration.</w:t>
      </w:r>
      <w:r>
        <w:t xml:space="preserve"> MLSys. arXiv:2306.00978.</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Wei, X. (2024). </w:t>
      </w:r>
      <w:r>
        <w:rPr>
          <w:i/>
        </w:rPr>
        <w:t>Evaluating chatGPT-4 and chatGPT-4o: performance insights from NAEP mathematics problem solving.</w:t>
      </w:r>
      <w:r>
        <w:t xml:space="preserve"> Frontiers in Education, 9, 1452570. https://doi.org/10.3389/feduc.2024.1452570</w:t>
      </w:r>
    </w:p>
    <w:p>
      <w:r>
        <w:t xml:space="preserve">Yan, S. Q., et al. (2024). </w:t>
      </w:r>
      <w:r>
        <w:rPr>
          <w:i/>
        </w:rPr>
        <w:t>Corrective retrieval augmented generation.</w:t>
      </w:r>
      <w:r>
        <w:t xml:space="preserve"> arXiv:2401.15884.</w:t>
      </w:r>
    </w:p>
    <w:p>
      <w:r>
        <w:t xml:space="preserve">Yu, S., et al. (2025). </w:t>
      </w:r>
      <w:r>
        <w:rPr>
          <w:i/>
        </w:rPr>
        <w:t>VisRAG: Vision-based retrieval-augmented generation on multi-modality documents.</w:t>
      </w:r>
      <w:r>
        <w:t xml:space="preserve"> ICLR. arXiv:2410.10594.</w:t>
      </w:r>
    </w:p>
    <w:p>
      <w:r>
        <w:t xml:space="preserve">Zheng, L., et al. (2023). </w:t>
      </w:r>
      <w:r>
        <w:rPr>
          <w:i/>
        </w:rPr>
        <w:t>Judging LLM-as-a-judge with MT-bench and Chatbot Arena.</w:t>
      </w:r>
      <w:r>
        <w:t xml:space="preserve"> arXiv:2306.05685.</w:t>
      </w:r>
    </w:p>
    <w:p>
      <w:r>
        <w:t xml:space="preserve">Zheng, L., et al. (2024). </w:t>
      </w:r>
      <w:r>
        <w:rPr>
          <w:i/>
        </w:rPr>
        <w:t>SGLang: Efficient execution of structured language model programs.</w:t>
      </w:r>
      <w:r>
        <w:t xml:space="preserve"> arXiv:2312.07104.</w:t>
      </w:r>
    </w:p>
    <w:p>
      <w:pPr>
        <w:pStyle w:val="Heading1"/>
      </w:pPr>
      <w:r>
        <w:t>Appendix A — Changes from the Original Report</w:t>
      </w:r>
    </w:p>
    <w:p>
      <w:r>
        <w:t xml:space="preserve">This appendix summarizes how the present report differs from the original. Each change is classified as </w:t>
      </w:r>
      <w:r>
        <w:rPr>
          <w:b/>
        </w:rPr>
        <w:t>added evidence</w:t>
      </w:r>
      <w:r>
        <w:t xml:space="preserve"> (a new experiment or analysis), an </w:t>
      </w:r>
      <w:r>
        <w:rPr>
          <w:b/>
        </w:rPr>
        <w:t>editorial</w:t>
      </w:r>
      <w:r>
        <w:t xml:space="preserve"> revision, or an item </w:t>
      </w:r>
      <w:r>
        <w:rPr>
          <w:b/>
        </w:rPr>
        <w:t>deferred</w:t>
      </w:r>
      <w:r>
        <w:t xml:space="preserve"> to future work (§8.3).</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Change</w:t>
            </w:r>
          </w:p>
        </w:tc>
        <w:tc>
          <w:tcPr>
            <w:tcW w:type="dxa" w:w="3120"/>
            <w:shd w:val="clear" w:fill="D5E8F0"/>
            <w:tcW w:w="3120" w:type="dxa"/>
          </w:tcPr>
          <w:p>
            <w:pPr>
              <w:spacing w:after="40"/>
            </w:pPr>
            <w:r>
              <w:rPr>
                <w:b/>
              </w:rPr>
            </w:r>
            <w:r>
              <w:rPr>
                <w:b/>
                <w:sz w:val="20"/>
              </w:rPr>
              <w:t>Type</w:t>
            </w:r>
          </w:p>
        </w:tc>
        <w:tc>
          <w:tcPr>
            <w:tcW w:type="dxa" w:w="3120"/>
            <w:shd w:val="clear" w:fill="D5E8F0"/>
            <w:tcW w:w="3120" w:type="dxa"/>
          </w:tcPr>
          <w:p>
            <w:pPr>
              <w:spacing w:after="40"/>
            </w:pPr>
            <w:r>
              <w:rPr>
                <w:b/>
              </w:rPr>
            </w:r>
            <w:r>
              <w:rPr>
                <w:b/>
                <w:sz w:val="20"/>
              </w:rPr>
              <w:t>Section</w:t>
            </w:r>
          </w:p>
        </w:tc>
      </w:tr>
      <w:tr>
        <w:tc>
          <w:tcPr>
            <w:tcW w:type="dxa" w:w="3120"/>
            <w:tcW w:w="3120" w:type="dxa"/>
          </w:tcPr>
          <w:p>
            <w:pPr>
              <w:spacing w:after="40"/>
            </w:pPr>
            <w:r/>
            <w:r>
              <w:rPr>
                <w:sz w:val="20"/>
              </w:rPr>
              <w:t>Reframed the significance statements as motivations and explicit research questions</w:t>
            </w:r>
          </w:p>
        </w:tc>
        <w:tc>
          <w:tcPr>
            <w:tcW w:type="dxa" w:w="3120"/>
            <w:tcW w:w="3120" w:type="dxa"/>
          </w:tcPr>
          <w:p>
            <w:pPr>
              <w:spacing w:after="40"/>
            </w:pPr>
            <w:r/>
            <w:r>
              <w:rPr>
                <w:sz w:val="20"/>
              </w:rPr>
              <w:t>Editorial</w:t>
            </w:r>
          </w:p>
        </w:tc>
        <w:tc>
          <w:tcPr>
            <w:tcW w:type="dxa" w:w="3120"/>
            <w:tcW w:w="3120" w:type="dxa"/>
          </w:tcPr>
          <w:p>
            <w:pPr>
              <w:spacing w:after="40"/>
            </w:pPr>
            <w:r/>
            <w:r>
              <w:rPr>
                <w:sz w:val="20"/>
              </w:rPr>
              <w:t>§1.3</w:t>
            </w:r>
          </w:p>
        </w:tc>
      </w:tr>
      <w:tr>
        <w:tc>
          <w:tcPr>
            <w:tcW w:type="dxa" w:w="3120"/>
            <w:tcW w:w="3120" w:type="dxa"/>
          </w:tcPr>
          <w:p>
            <w:pPr>
              <w:spacing w:after="40"/>
            </w:pPr>
            <w:r/>
            <w:r>
              <w:rPr>
                <w:sz w:val="20"/>
              </w:rPr>
              <w:t>Corrected the Basic and Advanced architecture descriptions to match what was actually evaluated</w:t>
            </w:r>
          </w:p>
        </w:tc>
        <w:tc>
          <w:tcPr>
            <w:tcW w:type="dxa" w:w="3120"/>
            <w:tcW w:w="3120" w:type="dxa"/>
          </w:tcPr>
          <w:p>
            <w:pPr>
              <w:spacing w:after="40"/>
            </w:pPr>
            <w:r/>
            <w:r>
              <w:rPr>
                <w:sz w:val="20"/>
              </w:rPr>
              <w:t>Editorial</w:t>
            </w:r>
          </w:p>
        </w:tc>
        <w:tc>
          <w:tcPr>
            <w:tcW w:type="dxa" w:w="3120"/>
            <w:tcW w:w="3120" w:type="dxa"/>
          </w:tcPr>
          <w:p>
            <w:pPr>
              <w:spacing w:after="40"/>
            </w:pPr>
            <w:r/>
            <w:r>
              <w:rPr>
                <w:sz w:val="20"/>
              </w:rPr>
              <w:t>§3.3.2</w:t>
            </w:r>
          </w:p>
        </w:tc>
      </w:tr>
      <w:tr>
        <w:tc>
          <w:tcPr>
            <w:tcW w:type="dxa" w:w="3120"/>
            <w:tcW w:w="3120" w:type="dxa"/>
          </w:tcPr>
          <w:p>
            <w:pPr>
              <w:spacing w:after="40"/>
            </w:pPr>
            <w:r/>
            <w:r>
              <w:rPr>
                <w:sz w:val="20"/>
              </w:rPr>
              <w:t>Added knowledge-base scale figures and a chunking-sensitivity analysis</w:t>
            </w:r>
          </w:p>
        </w:tc>
        <w:tc>
          <w:tcPr>
            <w:tcW w:type="dxa" w:w="3120"/>
            <w:tcW w:w="3120" w:type="dxa"/>
          </w:tcPr>
          <w:p>
            <w:pPr>
              <w:spacing w:after="40"/>
            </w:pPr>
            <w:r/>
            <w:r>
              <w:rPr>
                <w:sz w:val="20"/>
              </w:rPr>
              <w:t>Added evidence</w:t>
            </w:r>
          </w:p>
        </w:tc>
        <w:tc>
          <w:tcPr>
            <w:tcW w:type="dxa" w:w="3120"/>
            <w:tcW w:w="3120" w:type="dxa"/>
          </w:tcPr>
          <w:p>
            <w:pPr>
              <w:spacing w:after="40"/>
            </w:pPr>
            <w:r/>
            <w:r>
              <w:rPr>
                <w:sz w:val="20"/>
              </w:rPr>
              <w:t>§3.1, §7.2.4</w:t>
            </w:r>
          </w:p>
        </w:tc>
      </w:tr>
      <w:tr>
        <w:tc>
          <w:tcPr>
            <w:tcW w:type="dxa" w:w="3120"/>
            <w:tcW w:w="3120" w:type="dxa"/>
          </w:tcPr>
          <w:p>
            <w:pPr>
              <w:spacing w:after="40"/>
            </w:pPr>
            <w:r/>
            <w:r>
              <w:rPr>
                <w:sz w:val="20"/>
              </w:rPr>
              <w:t xml:space="preserve">Corrected the embedding-model description to </w:t>
            </w:r>
            <w:r>
              <w:rPr>
                <w:rFonts w:ascii="Consolas" w:hAnsi="Consolas"/>
                <w:sz w:val="18"/>
              </w:rPr>
              <w:t>all-mpnet-base-v2</w:t>
            </w:r>
          </w:p>
        </w:tc>
        <w:tc>
          <w:tcPr>
            <w:tcW w:type="dxa" w:w="3120"/>
            <w:tcW w:w="3120" w:type="dxa"/>
          </w:tcPr>
          <w:p>
            <w:pPr>
              <w:spacing w:after="40"/>
            </w:pPr>
            <w:r/>
            <w:r>
              <w:rPr>
                <w:sz w:val="20"/>
              </w:rPr>
              <w:t>Correction</w:t>
            </w:r>
          </w:p>
        </w:tc>
        <w:tc>
          <w:tcPr>
            <w:tcW w:type="dxa" w:w="3120"/>
            <w:tcW w:w="3120" w:type="dxa"/>
          </w:tcPr>
          <w:p>
            <w:pPr>
              <w:spacing w:after="40"/>
            </w:pPr>
            <w:r/>
            <w:r>
              <w:rPr>
                <w:sz w:val="20"/>
              </w:rPr>
              <w:t>§3.1, §7.2.4</w:t>
            </w:r>
          </w:p>
        </w:tc>
      </w:tr>
      <w:tr>
        <w:tc>
          <w:tcPr>
            <w:tcW w:type="dxa" w:w="3120"/>
            <w:tcW w:w="3120" w:type="dxa"/>
          </w:tcPr>
          <w:p>
            <w:pPr>
              <w:spacing w:after="40"/>
            </w:pPr>
            <w:r/>
            <w:r>
              <w:rPr>
                <w:sz w:val="20"/>
              </w:rPr>
              <w:t>Documented the rationale for the generator, grader, and judge choices, and for DeepEval over RAGAS</w:t>
            </w:r>
          </w:p>
        </w:tc>
        <w:tc>
          <w:tcPr>
            <w:tcW w:type="dxa" w:w="3120"/>
            <w:tcW w:w="3120" w:type="dxa"/>
          </w:tcPr>
          <w:p>
            <w:pPr>
              <w:spacing w:after="40"/>
            </w:pPr>
            <w:r/>
            <w:r>
              <w:rPr>
                <w:sz w:val="20"/>
              </w:rPr>
              <w:t>Editorial</w:t>
            </w:r>
          </w:p>
        </w:tc>
        <w:tc>
          <w:tcPr>
            <w:tcW w:type="dxa" w:w="3120"/>
            <w:tcW w:w="3120" w:type="dxa"/>
          </w:tcPr>
          <w:p>
            <w:pPr>
              <w:spacing w:after="40"/>
            </w:pPr>
            <w:r/>
            <w:r>
              <w:rPr>
                <w:sz w:val="20"/>
              </w:rPr>
              <w:t>§4.2, §4.3</w:t>
            </w:r>
          </w:p>
        </w:tc>
      </w:tr>
      <w:tr>
        <w:tc>
          <w:tcPr>
            <w:tcW w:type="dxa" w:w="3120"/>
            <w:tcW w:w="3120" w:type="dxa"/>
          </w:tcPr>
          <w:p>
            <w:pPr>
              <w:spacing w:after="40"/>
            </w:pPr>
            <w:r/>
            <w:r>
              <w:rPr>
                <w:sz w:val="20"/>
              </w:rPr>
              <w:t>Classified the evaluation questions by cognitive level and flagged the under-sampling of reasoning questions</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§4.4.1, §8.4</w:t>
            </w:r>
          </w:p>
        </w:tc>
      </w:tr>
      <w:tr>
        <w:tc>
          <w:tcPr>
            <w:tcW w:type="dxa" w:w="3120"/>
            <w:tcW w:w="3120" w:type="dxa"/>
          </w:tcPr>
          <w:p>
            <w:pPr>
              <w:spacing w:after="40"/>
            </w:pPr>
            <w:r/>
            <w:r>
              <w:rPr>
                <w:sz w:val="20"/>
              </w:rPr>
              <w:t>Reported every metric split by human and synthetic provenance</w:t>
            </w:r>
          </w:p>
        </w:tc>
        <w:tc>
          <w:tcPr>
            <w:tcW w:type="dxa" w:w="3120"/>
            <w:tcW w:w="3120" w:type="dxa"/>
          </w:tcPr>
          <w:p>
            <w:pPr>
              <w:spacing w:after="40"/>
            </w:pPr>
            <w:r/>
            <w:r>
              <w:rPr>
                <w:sz w:val="20"/>
              </w:rPr>
              <w:t>Added evidence</w:t>
            </w:r>
          </w:p>
        </w:tc>
        <w:tc>
          <w:tcPr>
            <w:tcW w:type="dxa" w:w="3120"/>
            <w:tcW w:w="3120" w:type="dxa"/>
          </w:tcPr>
          <w:p>
            <w:pPr>
              <w:spacing w:after="40"/>
            </w:pPr>
            <w:r/>
            <w:r>
              <w:rPr>
                <w:sz w:val="20"/>
              </w:rPr>
              <w:t>§4.4.1, §6.2–6.3</w:t>
            </w:r>
          </w:p>
        </w:tc>
      </w:tr>
      <w:tr>
        <w:tc>
          <w:tcPr>
            <w:tcW w:type="dxa" w:w="3120"/>
            <w:tcW w:w="3120" w:type="dxa"/>
          </w:tcPr>
          <w:p>
            <w:pPr>
              <w:spacing w:after="40"/>
            </w:pPr>
            <w:r/>
            <w:r>
              <w:rPr>
                <w:sz w:val="20"/>
              </w:rPr>
              <w:t>Clarified the 300-to-195 item selection and reused the same 195 items for comparability</w:t>
            </w:r>
          </w:p>
        </w:tc>
        <w:tc>
          <w:tcPr>
            <w:tcW w:type="dxa" w:w="3120"/>
            <w:tcW w:w="3120" w:type="dxa"/>
          </w:tcPr>
          <w:p>
            <w:pPr>
              <w:spacing w:after="40"/>
            </w:pPr>
            <w:r/>
            <w:r>
              <w:rPr>
                <w:sz w:val="20"/>
              </w:rPr>
              <w:t>Editorial</w:t>
            </w:r>
          </w:p>
        </w:tc>
        <w:tc>
          <w:tcPr>
            <w:tcW w:type="dxa" w:w="3120"/>
            <w:tcW w:w="3120" w:type="dxa"/>
          </w:tcPr>
          <w:p>
            <w:pPr>
              <w:spacing w:after="40"/>
            </w:pPr>
            <w:r/>
            <w:r>
              <w:rPr>
                <w:sz w:val="20"/>
              </w:rPr>
              <w:t>§4.4</w:t>
            </w:r>
          </w:p>
        </w:tc>
      </w:tr>
      <w:tr>
        <w:tc>
          <w:tcPr>
            <w:tcW w:type="dxa" w:w="3120"/>
            <w:tcW w:w="3120" w:type="dxa"/>
          </w:tcPr>
          <w:p>
            <w:pPr>
              <w:spacing w:after="40"/>
            </w:pPr>
            <w:r/>
            <w:r>
              <w:rPr>
                <w:sz w:val="20"/>
              </w:rPr>
              <w:t>Added a with-versus-without-retrieval baseline (value-added ablation)</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 retrieval-only baseline isolating what the generator contributes</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an open-versus-closed generator comparison and related it to the NAEP no-retrieval finding</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§7.2.3, §6.3</w:t>
            </w:r>
          </w:p>
        </w:tc>
      </w:tr>
      <w:tr>
        <w:tc>
          <w:tcPr>
            <w:tcW w:type="dxa" w:w="3120"/>
            <w:tcW w:w="3120" w:type="dxa"/>
          </w:tcPr>
          <w:p>
            <w:pPr>
              <w:spacing w:after="40"/>
            </w:pPr>
            <w:r/>
            <w:r>
              <w:rPr>
                <w:sz w:val="20"/>
              </w:rPr>
              <w:t>Added a stage-level attribution of where the advanced pipeline loses quality</w:t>
            </w:r>
          </w:p>
        </w:tc>
        <w:tc>
          <w:tcPr>
            <w:tcW w:type="dxa" w:w="3120"/>
            <w:tcW w:w="3120" w:type="dxa"/>
          </w:tcPr>
          <w:p>
            <w:pPr>
              <w:spacing w:after="40"/>
            </w:pPr>
            <w:r/>
            <w:r>
              <w:rPr>
                <w:sz w:val="20"/>
              </w:rPr>
              <w:t>Added evidence</w:t>
            </w:r>
          </w:p>
        </w:tc>
        <w:tc>
          <w:tcPr>
            <w:tcW w:type="dxa" w:w="3120"/>
            <w:tcW w:w="3120" w:type="dxa"/>
          </w:tcPr>
          <w:p>
            <w:pPr>
              <w:spacing w:after="40"/>
            </w:pPr>
            <w:r/>
            <w:r>
              <w:rPr>
                <w:sz w:val="20"/>
              </w:rPr>
              <w:t>§6.4</w:t>
            </w:r>
          </w:p>
        </w:tc>
      </w:tr>
      <w:tr>
        <w:tc>
          <w:tcPr>
            <w:tcW w:type="dxa" w:w="3120"/>
            <w:tcW w:w="3120" w:type="dxa"/>
          </w:tcPr>
          <w:p>
            <w:pPr>
              <w:spacing w:after="40"/>
            </w:pPr>
            <w:r/>
            <w:r>
              <w:rPr>
                <w:sz w:val="20"/>
              </w:rPr>
              <w:t>Hardened the evaluation: chunk-list logging, fixed embedding and retrieval, and a single held-constant judge</w:t>
            </w:r>
          </w:p>
        </w:tc>
        <w:tc>
          <w:tcPr>
            <w:tcW w:type="dxa" w:w="3120"/>
            <w:tcW w:w="3120" w:type="dxa"/>
          </w:tcPr>
          <w:p>
            <w:pPr>
              <w:spacing w:after="40"/>
            </w:pPr>
            <w:r/>
            <w:r>
              <w:rPr>
                <w:sz w:val="20"/>
              </w:rPr>
              <w:t>Added evidence</w:t>
            </w:r>
          </w:p>
        </w:tc>
        <w:tc>
          <w:tcPr>
            <w:tcW w:type="dxa" w:w="3120"/>
            <w:tcW w:w="3120" w:type="dxa"/>
          </w:tcPr>
          <w:p>
            <w:pPr>
              <w:spacing w:after="40"/>
            </w:pPr>
            <w:r/>
            <w:r>
              <w:rPr>
                <w:sz w:val="20"/>
              </w:rPr>
              <w:t>§7.1</w:t>
            </w:r>
          </w:p>
        </w:tc>
      </w:tr>
      <w:tr>
        <w:tc>
          <w:tcPr>
            <w:tcW w:type="dxa" w:w="3120"/>
            <w:tcW w:w="3120" w:type="dxa"/>
          </w:tcPr>
          <w:p>
            <w:pPr>
              <w:spacing w:after="40"/>
            </w:pPr>
            <w:r/>
            <w:r>
              <w:rPr>
                <w:sz w:val="20"/>
              </w:rPr>
              <w:t>Added a deployment-model discussion (local network server versus per-user installs)</w:t>
            </w:r>
          </w:p>
        </w:tc>
        <w:tc>
          <w:tcPr>
            <w:tcW w:type="dxa" w:w="3120"/>
            <w:tcW w:w="3120" w:type="dxa"/>
          </w:tcPr>
          <w:p>
            <w:pPr>
              <w:spacing w:after="40"/>
            </w:pPr>
            <w:r/>
            <w:r>
              <w:rPr>
                <w:sz w:val="20"/>
              </w:rPr>
              <w:t>Editorial</w:t>
            </w:r>
          </w:p>
        </w:tc>
        <w:tc>
          <w:tcPr>
            <w:tcW w:type="dxa" w:w="3120"/>
            <w:tcW w:w="3120" w:type="dxa"/>
          </w:tcPr>
          <w:p>
            <w:pPr>
              <w:spacing w:after="40"/>
            </w:pPr>
            <w:r/>
            <w:r>
              <w:rPr>
                <w:sz w:val="20"/>
              </w:rPr>
              <w:t>§8.2</w:t>
            </w:r>
          </w:p>
        </w:tc>
      </w:tr>
      <w:tr>
        <w:tc>
          <w:tcPr>
            <w:tcW w:type="dxa" w:w="3120"/>
            <w:tcW w:w="3120" w:type="dxa"/>
          </w:tcPr>
          <w:p>
            <w:pPr>
              <w:spacing w:after="40"/>
            </w:pPr>
            <w:r/>
            <w:r>
              <w:rPr>
                <w:sz w:val="20"/>
              </w:rPr>
              <w:t>Deferred calibrated human-expert evaluation, validation on internal documents, and full judge-sufficiency calibration</w:t>
            </w:r>
          </w:p>
        </w:tc>
        <w:tc>
          <w:tcPr>
            <w:tcW w:type="dxa" w:w="3120"/>
            <w:tcW w:w="3120" w:type="dxa"/>
          </w:tcPr>
          <w:p>
            <w:pPr>
              <w:spacing w:after="40"/>
            </w:pPr>
            <w:r/>
            <w:r>
              <w:rPr>
                <w:sz w:val="20"/>
              </w:rPr>
              <w:t>Future work</w:t>
            </w:r>
          </w:p>
        </w:tc>
        <w:tc>
          <w:tcPr>
            <w:tcW w:type="dxa" w:w="3120"/>
            <w:tcW w:w="3120" w:type="dxa"/>
          </w:tcPr>
          <w:p>
            <w:pPr>
              <w:spacing w:after="40"/>
            </w:pPr>
            <w:r/>
            <w:r>
              <w:rPr>
                <w:sz w:val="20"/>
              </w:rPr>
              <w:t>§8.3</w:t>
            </w:r>
          </w:p>
        </w:tc>
      </w:tr>
    </w:tbl>
    <w:p>
      <w:pPr>
        <w:spacing w:after="80"/>
      </w:pPr>
    </w:p>
    <w:p>
      <w:pPr>
        <w:pStyle w:val="Heading1"/>
      </w:pPr>
      <w:r>
        <w:t>Appendix B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§7.3.</w:t>
      </w:r>
    </w:p>
    <w:p>
      <w:r>
        <w:rPr>
          <w:b/>
        </w:rPr>
        <w:t>Configuration notes.</w:t>
      </w:r>
      <w:r>
        <w:t xml:space="preserve"> A few of the runs above warrant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with precision and recall slightly lower), confirming that chunk granularity is not the binding constraint. Index chunks average 812 characters around a gold span of roughly 363 characters, so smaller chunks are marginally cleaner but do not substitute for better retrieval; a full grid search remains a refinement rather than a priority.</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performed better, which is why bge is the production reranker.</w:t>
      </w:r>
    </w:p>
    <w:p>
      <w:r>
        <w:rPr>
          <w:b/>
        </w:rPr>
        <w:t>Embedding model.</w:t>
      </w:r>
      <w:r>
        <w:t xml:space="preserve"> Both the original prototype and this re-evaluation use </w:t>
      </w:r>
      <w:r>
        <w:rPr>
          <w:rFonts w:ascii="Consolas" w:hAnsi="Consolas"/>
          <w:sz w:val="20"/>
        </w:rPr>
        <w:t>sentence-transformers/all-mpnet-base-v2</w:t>
      </w:r>
      <w:r>
        <w:t>, a 768-dimensional general-purpose sentence encoder from Hugging Face. The original report's "embeddinggemma" label was an error. Because the hybrid BM25-plus-dense retriever (§7.2.2) already covers a single dense encoder's main weakness, exact-term matching, swapping the embedding model is a lower-priority lever than reranking and hybrid retrieval.</w:t>
      </w:r>
    </w:p>
    <w:p>
      <w:r>
        <w:rPr>
          <w:b/>
        </w:rPr>
        <w:t>Data leakage.</w:t>
      </w:r>
      <w:r>
        <w:t xml:space="preserve"> The original 300-item pool fully contains the 195 evaluation items, leaving only about 105 genuinely separate rows — too few to fine-tune on without leakage. This is a further reason the evaluation set is used unchanged throughout, and why fine-tuning is not a near-term lever.</w:t>
      </w:r>
    </w:p>
    <w:p>
      <w:r>
        <w:rPr>
          <w:b/>
        </w:rPr>
        <w:t>Value-added ablation (answer correctness, no-retrieval baselines; see §6.3).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C — Evaluation Results</w:t>
      </w:r>
    </w:p>
    <w:p>
      <w:r>
        <w:t xml:space="preserve">The complete evaluation results are provided as an accompanying spreadsheet, </w:t>
      </w:r>
      <w:r>
        <w:rPr>
          <w:rFonts w:ascii="Consolas" w:hAnsi="Consolas"/>
          <w:sz w:val="20"/>
        </w:rPr>
        <w:t>revised_final_report_appendix_C.xlsx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The generated answers and retrieved contexts behind these scores are provided separately in Appendix D.</w:t>
      </w:r>
    </w:p>
    <w:p>
      <w:r>
        <w:rPr>
          <w:b/>
        </w:rPr>
        <w:t>Reproducibility.</w:t>
      </w:r>
      <w:r>
        <w:t xml:space="preserve"> The benchmark used the following components. Generators: </w:t>
      </w:r>
      <w:r>
        <w:rPr>
          <w:rFonts w:ascii="Consolas" w:hAnsi="Consolas"/>
          <w:sz w:val="20"/>
        </w:rPr>
        <w:t>llama3:8b</w:t>
      </w:r>
      <w:r>
        <w:t xml:space="preserve"> (primary, local via Ollama), </w:t>
      </w:r>
      <w:r>
        <w:rPr>
          <w:rFonts w:ascii="Consolas" w:hAnsi="Consolas"/>
          <w:sz w:val="20"/>
        </w:rPr>
        <w:t>deepseek-r1:8b</w:t>
      </w:r>
      <w:r>
        <w:t xml:space="preserve"> (local), and </w:t>
      </w:r>
      <w:r>
        <w:rPr>
          <w:rFonts w:ascii="Consolas" w:hAnsi="Consolas"/>
          <w:sz w:val="20"/>
        </w:rPr>
        <w:t>gpt-5.4-mini</w:t>
      </w:r>
      <w:r>
        <w:t xml:space="preserve"> (closed, cloud); the agentic pipelines use </w:t>
      </w:r>
      <w:r>
        <w:rPr>
          <w:rFonts w:ascii="Consolas" w:hAnsi="Consolas"/>
          <w:sz w:val="20"/>
        </w:rPr>
        <w:t>gemma3:1b</w:t>
      </w:r>
      <w:r>
        <w:t xml:space="preserve"> as the internal grader. Retrieval: </w:t>
      </w:r>
      <w:r>
        <w:rPr>
          <w:rFonts w:ascii="Consolas" w:hAnsi="Consolas"/>
          <w:sz w:val="20"/>
        </w:rPr>
        <w:t>sentence-transformers/all-mpnet-base-v2</w:t>
      </w:r>
      <w:r>
        <w:t xml:space="preserve"> embeddings (768-dim) in a Chroma index, BM25 for sparse retrieval, reciprocal rank fusion, and a </w:t>
      </w:r>
      <w:r>
        <w:rPr>
          <w:rFonts w:ascii="Consolas" w:hAnsi="Consolas"/>
          <w:sz w:val="20"/>
        </w:rPr>
        <w:t>bge-base</w:t>
      </w:r>
      <w:r>
        <w:t xml:space="preserve"> cross-encoder reranker. All quality metrics were scored by a single held-constant judge, </w:t>
      </w:r>
      <w:r>
        <w:rPr>
          <w:rFonts w:ascii="Consolas" w:hAnsi="Consolas"/>
          <w:sz w:val="20"/>
        </w:rPr>
        <w:t>gpt-oss-120b</w:t>
      </w:r>
      <w:r>
        <w:t xml:space="preserve">, through an OpenAI-compatible API, using DeepEval's reference-based contextual metrics and G-Eval answer correctness. The pipelines are built on LangChain, LangGraph, Chroma, and Ollama. The evaluation set is the 195-item revised dataset in </w:t>
      </w:r>
      <w:r>
        <w:rPr>
          <w:rFonts w:ascii="Consolas" w:hAnsi="Consolas"/>
          <w:sz w:val="20"/>
        </w:rPr>
        <w:t>datasets/revision/</w:t>
      </w:r>
      <w:r>
        <w:t>. The harness, dataset, and per-row results are held in the internal IEA project repository and are available to IEA staff on request, subject to data-governance approval.</w:t>
      </w:r>
    </w:p>
    <w:p>
      <w:pPr>
        <w:pStyle w:val="Heading1"/>
      </w:pPr>
      <w:r>
        <w:t>Appendix D — Generated Answers and Retrieved Contexts</w:t>
      </w:r>
    </w:p>
    <w:p>
      <w:r>
        <w:t xml:space="preserve">The per-question generated answers and the chunks retrieved for every run are provided as an accompanying spreadsheet, </w:t>
      </w:r>
      <w:r>
        <w:rPr>
          <w:rFonts w:ascii="Consolas" w:hAnsi="Consolas"/>
          <w:sz w:val="20"/>
        </w:rPr>
        <w:t>revised_final_report_appendix_D.xlsx</w:t>
      </w:r>
      <w:r>
        <w:t xml:space="preserve"> — the qualitative companion to Appendix C, cross-referenced by (run, row_id). It contains an "All runs" sheet with one row per question per run (filterable by run and row_id, for comparing how different pipelines answered the same question) and one sheet per run, in the same order and with the same names as Appendix C's detail sheets. Each row gives the question, the gold reference answer and passage, the generated answer, and the retrieved chunks shown to the generator, together with the chunk count and latency. Two run types are special: closed-book runs use no retrieval, so their retrieved-context column reads "— (no retrieval)"; and the retrieval-only run returns the raw top-k chunks directly as the answer, with no generation step (§6.3).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Thariq,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