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IEA R&amp;D Funds — Call No. 6 (2026) · Proposal Draft (working synthesis)</w:t>
      </w:r>
    </w:p>
    <w:p>
      <w:pPr>
        <w:shd w:fill="F2F2F2" w:val="clear"/>
        <w:spacing w:after="80" w:before="80"/>
        <w:ind w:left="360"/>
      </w:pPr>
      <w:r>
        <w:rPr>
          <w:b/>
          <w:bCs/>
          <w:i/>
          <w:iCs/>
          <w:sz w:val="20"/>
          <w:szCs w:val="20"/>
        </w:rPr>
        <w:t xml:space="preserve">Status:</w:t>
      </w:r>
      <w:r>
        <w:rPr>
          <w:i/>
          <w:iCs/>
          <w:sz w:val="20"/>
          <w:szCs w:val="20"/>
        </w:rPr>
        <w:t xml:space="preserve"> working synthesis of the ideation in this project's planning conversation, mapped to the call's required sections (§6). </w:t>
      </w:r>
      <w:r>
        <w:rPr>
          <w:b/>
          <w:bCs/>
          <w:i/>
          <w:iCs/>
          <w:sz w:val="20"/>
          <w:szCs w:val="20"/>
        </w:rPr>
        <w:t xml:space="preserve">Not submission-ready.</w:t>
      </w:r>
      <w:r>
        <w:rPr>
          <w:i/>
          <w:iCs/>
          <w:sz w:val="20"/>
          <w:szCs w:val="20"/>
        </w:rPr>
        <w:t xml:space="preserve"> Per call §6, the intellectual content (theoretical background, research design, potential impact, timeline, budget, references) must be authored in the applicant's own words; rewrite this draft and disclose AI assistance (brainstorming, source identification, and building the accompanying open-source code artifact). Placeholders are in </w:t>
      </w:r>
      <w:r>
        <w:rPr>
          <w:rFonts w:ascii="Consolas" w:cs="Consolas" w:eastAsia="Consolas" w:hAnsi="Consolas"/>
          <w:i/>
          <w:iCs/>
          <w:color w:val="444444"/>
          <w:sz w:val="20"/>
          <w:szCs w:val="20"/>
        </w:rPr>
        <w:t xml:space="preserve">[BRACKETS]</w:t>
      </w:r>
      <w:r>
        <w:rPr>
          <w:i/>
          <w:iCs/>
          <w:sz w:val="20"/>
          <w:szCs w:val="20"/>
        </w:rPr>
        <w:t xml:space="preserve">. Funding tier: </w:t>
      </w:r>
      <w:r>
        <w:rPr>
          <w:b/>
          <w:bCs/>
          <w:i/>
          <w:iCs/>
          <w:sz w:val="20"/>
          <w:szCs w:val="20"/>
        </w:rPr>
        <w:t xml:space="preserve">Tier 1 (≤ €55,000)</w:t>
      </w:r>
      <w:r>
        <w:rPr>
          <w:i/>
          <w:iCs/>
          <w:sz w:val="20"/>
          <w:szCs w:val="20"/>
        </w:rPr>
        <w:t xml:space="preserve">. Start ≥ 1 Feb 2027, complete before end-2027.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Title</w:t>
      </w:r>
    </w:p>
    <w:p>
      <w:pPr>
        <w:spacing w:after="120"/>
      </w:pPr>
      <w:r>
        <w:t xml:space="preserve">**ILSA-TableQA: A Benchmark and Privacy-Constrained Evaluation of Table-Aware</w:t>
      </w:r>
    </w:p>
    <w:p>
      <w:pPr>
        <w:spacing w:after="120"/>
      </w:pPr>
      <w:r>
        <w:t xml:space="preserve">Retrieval-Augmented Generation for International Large-Scale Assessment Reports**</w:t>
      </w:r>
    </w:p>
    <w:p>
      <w:pPr>
        <w:pStyle w:val="Heading2"/>
      </w:pPr>
      <w:r>
        <w:t xml:space="preserve">Short description (~50 words)</w:t>
      </w:r>
    </w:p>
    <w:p>
      <w:pPr>
        <w:spacing w:after="120"/>
      </w:pPr>
      <w:r>
        <w:t xml:space="preserve">IEA reports are dense with statistical exhibits, yet current retrieval-augmented</w:t>
      </w:r>
    </w:p>
    <w:p>
      <w:pPr>
        <w:spacing w:after="120"/>
      </w:pPr>
      <w:r>
        <w:t xml:space="preserve">generation (RAG) tools cannot read them — text extraction flattens tables and answers</w:t>
      </w:r>
    </w:p>
    <w:p>
      <w:pPr>
        <w:spacing w:after="120"/>
      </w:pPr>
      <w:r>
        <w:t xml:space="preserve">fail silently. This project builds the first open question-answering benchmark over ILSA</w:t>
      </w:r>
    </w:p>
    <w:p>
      <w:pPr>
        <w:spacing w:after="120"/>
      </w:pPr>
      <w:r>
        <w:t xml:space="preserve">statistical exhibits, a numeric-exact evaluation protocol, and a comparison of table</w:t>
      </w:r>
    </w:p>
    <w:p>
      <w:pPr>
        <w:spacing w:after="120"/>
      </w:pPr>
      <w:r>
        <w:t xml:space="preserve">extraction paradigms deployable on-premises.</w:t>
      </w:r>
    </w:p>
    <w:p>
      <w:pPr>
        <w:pStyle w:val="Heading2"/>
      </w:pPr>
      <w:r>
        <w:t xml:space="preserve">Key areas and keywords</w:t>
      </w:r>
    </w:p>
    <w:p>
      <w:pPr>
        <w:spacing w:after="120"/>
      </w:pPr>
      <w:r>
        <w:t xml:space="preserve">Reporting and dissemination; machine learning / AI applied to IEA methods; secondary</w:t>
      </w:r>
    </w:p>
    <w:p>
      <w:pPr>
        <w:spacing w:after="120"/>
      </w:pPr>
      <w:r>
        <w:t xml:space="preserve">analysis tooling; data visualization and communication of results. </w:t>
      </w:r>
      <w:r>
        <w:rPr>
          <w:i/>
          <w:iCs/>
        </w:rPr>
        <w:t xml:space="preserve">Keywords:</w:t>
      </w:r>
    </w:p>
    <w:p>
      <w:pPr>
        <w:spacing w:after="120"/>
      </w:pPr>
      <w:r>
        <w:t xml:space="preserve">retrieval-augmented generation, large language models, table extraction, document</w:t>
      </w:r>
    </w:p>
    <w:p>
      <w:pPr>
        <w:spacing w:after="120"/>
      </w:pPr>
      <w:r>
        <w:t xml:space="preserve">understanding, benchmark, evaluation methodology, PIRLS, TIMSS, ICILS, privacy-preserving</w:t>
      </w:r>
    </w:p>
    <w:p>
      <w:pPr>
        <w:spacing w:after="120"/>
      </w:pPr>
      <w:r>
        <w:t xml:space="preserve">NLP.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Summary (≤ 500 words)</w:t>
      </w:r>
    </w:p>
    <w:p>
      <w:pPr>
        <w:spacing w:after="120"/>
      </w:pPr>
      <w:r>
        <w:t xml:space="preserve">International large-scale assessments (ILSAs) communicate their central findings through</w:t>
      </w:r>
    </w:p>
    <w:p>
      <w:pPr>
        <w:spacing w:after="120"/>
      </w:pPr>
      <w:r>
        <w:rPr>
          <w:b/>
          <w:bCs/>
        </w:rPr>
        <w:t xml:space="preserve">statistical exhibits</w:t>
      </w:r>
      <w:r>
        <w:t xml:space="preserve"> — achievement distributions with standard errors, benchmark</w:t>
      </w:r>
    </w:p>
    <w:p>
      <w:pPr>
        <w:spacing w:after="120"/>
      </w:pPr>
      <w:r>
        <w:t xml:space="preserve">percentages, group-gap and trend tables, and cross-country policy tables. These exhibits</w:t>
      </w:r>
    </w:p>
    <w:p>
      <w:pPr>
        <w:spacing w:after="120"/>
      </w:pPr>
      <w:r>
        <w:t xml:space="preserve">are where the numbers that matter to researchers, policymakers, and the public actually</w:t>
      </w:r>
    </w:p>
    <w:p>
      <w:pPr>
        <w:spacing w:after="120"/>
      </w:pPr>
      <w:r>
        <w:t xml:space="preserve">live. Recent advances in retrieval-augmented generation (RAG) make it possible to query</w:t>
      </w:r>
    </w:p>
    <w:p>
      <w:pPr>
        <w:spacing w:after="120"/>
      </w:pPr>
      <w:r>
        <w:t xml:space="preserve">document collections in natural language, and a prior proof-of-concept demonstrated a</w:t>
      </w:r>
    </w:p>
    <w:p>
      <w:pPr>
        <w:spacing w:after="120"/>
      </w:pPr>
      <w:r>
        <w:t xml:space="preserve">privacy-preserving RAG system over PIRLS 2021 documentation. That work reached a clear,</w:t>
      </w:r>
    </w:p>
    <w:p>
      <w:pPr>
        <w:spacing w:after="120"/>
      </w:pPr>
      <w:r>
        <w:t xml:space="preserve">documented limitation: the system </w:t>
      </w:r>
      <w:r>
        <w:rPr>
          <w:b/>
          <w:bCs/>
        </w:rPr>
        <w:t xml:space="preserve">cannot reliably read tables</w:t>
      </w:r>
      <w:r>
        <w:t xml:space="preserve">. Standard PDF text</w:t>
      </w:r>
    </w:p>
    <w:p>
      <w:pPr>
        <w:spacing w:after="120"/>
      </w:pPr>
      <w:r>
        <w:t xml:space="preserve">extraction flattens row-and-column structure, and a vision-language attempt misassociated</w:t>
      </w:r>
    </w:p>
    <w:p>
      <w:pPr>
        <w:spacing w:after="120"/>
      </w:pPr>
      <w:r>
        <w:t xml:space="preserve">headers, so any question whose answer sits in an exhibit fails — and fails </w:t>
      </w:r>
      <w:r>
        <w:rPr>
          <w:i/>
          <w:iCs/>
        </w:rPr>
        <w:t xml:space="preserve">silently</w:t>
      </w:r>
      <w:r>
        <w:t xml:space="preserve">,</w:t>
      </w:r>
    </w:p>
    <w:p>
      <w:pPr>
        <w:spacing w:after="120"/>
      </w:pPr>
      <w:r>
        <w:t xml:space="preserve">returning a fluent but wrong answer. This is precisely the content ILSA users most need.</w:t>
      </w:r>
    </w:p>
    <w:p>
      <w:pPr>
        <w:spacing w:after="120"/>
      </w:pPr>
      <w:r>
        <w:t xml:space="preserve">This project addresses that gap with a rigorous, reusable, methodology-first contribution</w:t>
      </w:r>
    </w:p>
    <w:p>
      <w:pPr>
        <w:spacing w:after="120"/>
      </w:pPr>
      <w:r>
        <w:t xml:space="preserve">rather than a one-off tool. We will (1) construct </w:t>
      </w:r>
      <w:r>
        <w:rPr>
          <w:b/>
          <w:bCs/>
        </w:rPr>
        <w:t xml:space="preserve">ILSA-TableQA</w:t>
      </w:r>
      <w:r>
        <w:t xml:space="preserve">, the first open</w:t>
      </w:r>
    </w:p>
    <w:p>
      <w:pPr>
        <w:spacing w:after="120"/>
      </w:pPr>
      <w:r>
        <w:t xml:space="preserve">question-answering benchmark built on statistical exhibits from public ILSA international</w:t>
      </w:r>
    </w:p>
    <w:p>
      <w:pPr>
        <w:spacing w:after="120"/>
      </w:pPr>
      <w:r>
        <w:t xml:space="preserve">reports across </w:t>
      </w:r>
      <w:r>
        <w:rPr>
          <w:b/>
          <w:bCs/>
        </w:rPr>
        <w:t xml:space="preserve">at least three studies</w:t>
      </w:r>
      <w:r>
        <w:t xml:space="preserve"> (PIRLS, TIMSS, ICILS), with gold answers tied</w:t>
      </w:r>
    </w:p>
    <w:p>
      <w:pPr>
        <w:spacing w:after="120"/>
      </w:pPr>
      <w:r>
        <w:t xml:space="preserve">to specific cells and typed by reasoning demand (lookup, standard-error reads,</w:t>
      </w:r>
    </w:p>
    <w:p>
      <w:pPr>
        <w:spacing w:after="120"/>
      </w:pPr>
      <w:r>
        <w:t xml:space="preserve">group gaps, trends, aggregation, significance); (2) define a **numeric-exact and</w:t>
      </w:r>
    </w:p>
    <w:p>
      <w:pPr>
        <w:spacing w:after="120"/>
      </w:pPr>
      <w:r>
        <w:t xml:space="preserve">structure-aware evaluation protocol** — numeric-match-with-tolerance plus table-structure</w:t>
      </w:r>
    </w:p>
    <w:p>
      <w:pPr>
        <w:spacing w:after="120"/>
      </w:pPr>
      <w:r>
        <w:t xml:space="preserve">recovery — that cannot be gamed by verbose answers, correcting a measurement artifact</w:t>
      </w:r>
    </w:p>
    <w:p>
      <w:pPr>
        <w:spacing w:after="120"/>
      </w:pPr>
      <w:r>
        <w:t xml:space="preserve">observed in the prior study; and (3) run a controlled, </w:t>
      </w:r>
      <w:r>
        <w:rPr>
          <w:b/>
          <w:bCs/>
        </w:rPr>
        <w:t xml:space="preserve">privacy-constrained comparison</w:t>
      </w:r>
    </w:p>
    <w:p>
      <w:pPr>
        <w:spacing w:after="120"/>
      </w:pPr>
      <w:r>
        <w:t xml:space="preserve">of the two dominant extraction paradigms — layout-aware text parsing (CPU-deployable) and</w:t>
      </w:r>
    </w:p>
    <w:p>
      <w:pPr>
        <w:spacing w:after="120"/>
      </w:pPr>
      <w:r>
        <w:t xml:space="preserve">OCR-free vision retrieval (GPU-dependent) — on identical inputs, quantifying accuracy</w:t>
      </w:r>
    </w:p>
    <w:p>
      <w:pPr>
        <w:spacing w:after="120"/>
      </w:pPr>
      <w:r>
        <w:t xml:space="preserve">against compute, latency, and on-premises deployability.</w:t>
      </w:r>
    </w:p>
    <w:p>
      <w:pPr>
        <w:spacing w:after="120"/>
      </w:pPr>
      <w:r>
        <w:t xml:space="preserve">The work is deliberately scoped for Tier 1: it uses only </w:t>
      </w:r>
      <w:r>
        <w:rPr>
          <w:b/>
          <w:bCs/>
        </w:rPr>
        <w:t xml:space="preserve">public</w:t>
      </w:r>
      <w:r>
        <w:t xml:space="preserve"> ILSA materials and</w:t>
      </w:r>
    </w:p>
    <w:p>
      <w:pPr>
        <w:spacing w:after="120"/>
      </w:pPr>
      <w:r>
        <w:t xml:space="preserve">requires </w:t>
      </w:r>
      <w:r>
        <w:rPr>
          <w:b/>
          <w:bCs/>
        </w:rPr>
        <w:t xml:space="preserve">no confidential data</w:t>
      </w:r>
      <w:r>
        <w:t xml:space="preserve">, and because exhibit answers are objective (a value in</w:t>
      </w:r>
    </w:p>
    <w:p>
      <w:pPr>
        <w:spacing w:after="120"/>
      </w:pPr>
      <w:r>
        <w:t xml:space="preserve">a cell) ground truth can be established reliably by the project team without scarce expert</w:t>
      </w:r>
    </w:p>
    <w:p>
      <w:pPr>
        <w:spacing w:after="120"/>
      </w:pPr>
      <w:r>
        <w:t xml:space="preserve">raters. It also builds directly on assets already in hand — an evaluation harness, a</w:t>
      </w:r>
    </w:p>
    <w:p>
      <w:pPr>
        <w:spacing w:after="120"/>
      </w:pPr>
      <w:r>
        <w:t xml:space="preserve">195-item QA set, a hybrid retrieval stack, and (as a de-risking artifact) a working</w:t>
      </w:r>
    </w:p>
    <w:p>
      <w:pPr>
        <w:spacing w:after="120"/>
      </w:pPr>
      <w:r>
        <w:t xml:space="preserve">numeric-exact scorer and a validated table-extraction adapter — reducing delivery risk.</w:t>
      </w:r>
    </w:p>
    <w:p>
      <w:pPr>
        <w:spacing w:after="120"/>
      </w:pPr>
      <w:r>
        <w:t xml:space="preserve">Outputs are open by default: the benchmark dataset, the evaluation code, a reference</w:t>
      </w:r>
    </w:p>
    <w:p>
      <w:pPr>
        <w:spacing w:after="120"/>
      </w:pPr>
      <w:r>
        <w:t xml:space="preserve">table-aware RAG integration with CPU and GPU deployment recipes, and a research report</w:t>
      </w:r>
    </w:p>
    <w:p>
      <w:pPr>
        <w:spacing w:after="120"/>
      </w:pPr>
      <w:r>
        <w:t xml:space="preserve">with practical guidance. The benchmark and protocol are **reusable across IEA studies and</w:t>
      </w:r>
    </w:p>
    <w:p>
      <w:pPr>
        <w:spacing w:after="120"/>
      </w:pPr>
      <w:r>
        <w:t xml:space="preserve">cycles**, giving IEA a durable instrument for assessing whether any future AI tool is</w:t>
      </w:r>
    </w:p>
    <w:p>
      <w:pPr>
        <w:spacing w:after="120"/>
      </w:pPr>
      <w:r>
        <w:t xml:space="preserve">accurate enough to trust with its results — a direct contribution to trustworthy</w:t>
      </w:r>
    </w:p>
    <w:p>
      <w:pPr>
        <w:spacing w:after="120"/>
      </w:pPr>
      <w:r>
        <w:t xml:space="preserve">dissemination and to reducing error in how ILSA findings are retrieved and communicated.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Theoretical background (≤ 1,000 words)</w:t>
      </w:r>
    </w:p>
    <w:p>
      <w:pPr>
        <w:spacing w:after="120"/>
      </w:pPr>
      <w:r>
        <w:rPr>
          <w:b/>
          <w:bCs/>
        </w:rPr>
        <w:t xml:space="preserve">ILSA reporting and the secondary-analysis burden.</w:t>
      </w:r>
      <w:r>
        <w:t xml:space="preserve"> IEA's studies (PIRLS, TIMSS, ICILS,</w:t>
      </w:r>
    </w:p>
    <w:p>
      <w:pPr>
        <w:spacing w:after="120"/>
      </w:pPr>
      <w:r>
        <w:t xml:space="preserve">ICCS) publish international reports whose evidentiary core is tabular: mean scale scores</w:t>
      </w:r>
    </w:p>
    <w:p>
      <w:pPr>
        <w:spacing w:after="120"/>
      </w:pPr>
      <w:r>
        <w:t xml:space="preserve">with standard errors, percentages reaching international benchmarks, achievement by</w:t>
      </w:r>
    </w:p>
    <w:p>
      <w:pPr>
        <w:spacing w:after="120"/>
      </w:pPr>
      <w:r>
        <w:t xml:space="preserve">context variables, sex/subgroup gaps, and cross-cycle trends flagged with significance</w:t>
      </w:r>
    </w:p>
    <w:p>
      <w:pPr>
        <w:spacing w:after="120"/>
      </w:pPr>
      <w:r>
        <w:t xml:space="preserve">markers. Reading and reusing these exhibits is central to the "analyzing data and</w:t>
      </w:r>
    </w:p>
    <w:p>
      <w:pPr>
        <w:spacing w:after="120"/>
      </w:pPr>
      <w:r>
        <w:t xml:space="preserve">reporting results" strand of the Technical Standards for IEA Studies (Martin, Fraillon, &amp;</w:t>
      </w:r>
    </w:p>
    <w:p>
      <w:pPr>
        <w:spacing w:after="120"/>
      </w:pPr>
      <w:r>
        <w:t xml:space="preserve">Sibberns, 2025) and to the study lifecycle's reporting and dissemination phase. Anything</w:t>
      </w:r>
    </w:p>
    <w:p>
      <w:pPr>
        <w:spacing w:after="120"/>
      </w:pPr>
      <w:r>
        <w:t xml:space="preserve">that lowers the cost and error of extracting facts from these exhibits serves IEA's</w:t>
      </w:r>
    </w:p>
    <w:p>
      <w:pPr>
        <w:spacing w:after="120"/>
      </w:pPr>
      <w:r>
        <w:t xml:space="preserve">mission and the wider secondary-analysis community.</w:t>
      </w:r>
    </w:p>
    <w:p>
      <w:pPr>
        <w:spacing w:after="120"/>
      </w:pPr>
      <w:r>
        <w:rPr>
          <w:b/>
          <w:bCs/>
        </w:rPr>
        <w:t xml:space="preserve">Retrieval-augmented generation and its current limits for tables.</w:t>
      </w:r>
      <w:r>
        <w:t xml:space="preserve"> RAG couples a</w:t>
      </w:r>
    </w:p>
    <w:p>
      <w:pPr>
        <w:spacing w:after="120"/>
      </w:pPr>
      <w:r>
        <w:t xml:space="preserve">retriever over a document collection with a generator that answers from retrieved</w:t>
      </w:r>
    </w:p>
    <w:p>
      <w:pPr>
        <w:spacing w:after="120"/>
      </w:pPr>
      <w:r>
        <w:t xml:space="preserve">context. A prior IEA-focused proof-of-concept over PIRLS documentation established two</w:t>
      </w:r>
    </w:p>
    <w:p>
      <w:pPr>
        <w:spacing w:after="120"/>
      </w:pPr>
      <w:r>
        <w:t xml:space="preserve">findings that shape this proposal. First, performance is </w:t>
      </w:r>
      <w:r>
        <w:rPr>
          <w:b/>
          <w:bCs/>
        </w:rPr>
        <w:t xml:space="preserve">retrieval-bound</w:t>
      </w:r>
      <w:r>
        <w:t xml:space="preserve">: once the</w:t>
      </w:r>
    </w:p>
    <w:p>
      <w:pPr>
        <w:spacing w:after="120"/>
      </w:pPr>
      <w:r>
        <w:t xml:space="preserve">correct context is retrieved, the answer is usually present; the binding constraint is</w:t>
      </w:r>
    </w:p>
    <w:p>
      <w:pPr>
        <w:spacing w:after="120"/>
      </w:pPr>
      <w:r>
        <w:t xml:space="preserve">retrieval quality, not generator size. This is independently corroborated by</w:t>
      </w:r>
    </w:p>
    <w:p>
      <w:pPr>
        <w:spacing w:after="120"/>
      </w:pPr>
      <w:r>
        <w:rPr>
          <w:b/>
          <w:bCs/>
        </w:rPr>
        <w:t xml:space="preserve">T2-RAGBench</w:t>
      </w:r>
      <w:r>
        <w:t xml:space="preserve"> (Strich et al., 2025, arXiv:2506.12071), where accuracy with oracle</w:t>
      </w:r>
    </w:p>
    <w:p>
      <w:pPr>
        <w:spacing w:after="120"/>
      </w:pPr>
      <w:r>
        <w:t xml:space="preserve">context reaches </w:t>
      </w:r>
      <w:r>
        <w:rPr>
          <w:b/>
          <w:bCs/>
        </w:rPr>
        <w:t xml:space="preserve">72.3–72.5%</w:t>
      </w:r>
      <w:r>
        <w:t xml:space="preserve"> but the best RAG configuration reaches only </w:t>
      </w:r>
      <w:r>
        <w:rPr>
          <w:b/>
          <w:bCs/>
        </w:rPr>
        <w:t xml:space="preserve">41.3–41.7%</w:t>
      </w:r>
    </w:p>
    <w:p>
      <w:pPr>
        <w:spacing w:after="120"/>
      </w:pPr>
      <w:r>
        <w:t xml:space="preserve">(Number Match) — and where that best configuration is </w:t>
      </w:r>
      <w:r>
        <w:rPr>
          <w:b/>
          <w:bCs/>
        </w:rPr>
        <w:t xml:space="preserve">hybrid BM25+dense retrieval</w:t>
      </w:r>
      <w:r>
        <w:t xml:space="preserve">,</w:t>
      </w:r>
    </w:p>
    <w:p>
      <w:pPr>
        <w:spacing w:after="120"/>
      </w:pPr>
      <w:r>
        <w:t xml:space="preserve">matching the prior project's own architecture choice. Second, elaborate agentic pipelines</w:t>
      </w:r>
    </w:p>
    <w:p>
      <w:pPr>
        <w:spacing w:after="120"/>
      </w:pPr>
      <w:r>
        <w:t xml:space="preserve">(corrective/decomposition RAG) did not beat a simple retrieve-then-generate pipeline on</w:t>
      </w:r>
    </w:p>
    <w:p>
      <w:pPr>
        <w:spacing w:after="120"/>
      </w:pPr>
      <w:r>
        <w:t xml:space="preserve">this material; for the low-compositionality lookups typical of tables, added iteration</w:t>
      </w:r>
    </w:p>
    <w:p>
      <w:pPr>
        <w:spacing w:after="120"/>
      </w:pPr>
      <w:r>
        <w:t xml:space="preserve">mainly adds latency and error. Together these justify concentrating effort on</w:t>
      </w:r>
    </w:p>
    <w:p>
      <w:pPr>
        <w:spacing w:after="120"/>
      </w:pPr>
      <w:r>
        <w:rPr>
          <w:b/>
          <w:bCs/>
        </w:rPr>
        <w:t xml:space="preserve">retrieval/extraction quality</w:t>
      </w:r>
      <w:r>
        <w:t xml:space="preserve">, not pipeline complexity.</w:t>
      </w:r>
    </w:p>
    <w:p>
      <w:pPr>
        <w:spacing w:after="120"/>
      </w:pPr>
      <w:r>
        <w:rPr>
          <w:b/>
          <w:bCs/>
        </w:rPr>
        <w:t xml:space="preserve">Document understanding: two paradigms.</w:t>
      </w:r>
      <w:r>
        <w:t xml:space="preserve"> Modern table extraction splits into two camps.</w:t>
      </w:r>
    </w:p>
    <w:p>
      <w:pPr>
        <w:spacing w:after="120"/>
      </w:pPr>
      <w:r>
        <w:t xml:space="preserve">(i) </w:t>
      </w:r>
      <w:r>
        <w:rPr>
          <w:b/>
          <w:bCs/>
        </w:rPr>
        <w:t xml:space="preserve">Layout-aware text parsing</w:t>
      </w:r>
      <w:r>
        <w:t xml:space="preserve"> detects layout and recovers table structure from the</w:t>
      </w:r>
    </w:p>
    <w:p>
      <w:pPr>
        <w:spacing w:after="120"/>
      </w:pPr>
      <w:r>
        <w:t xml:space="preserve">text/vector layer: </w:t>
      </w:r>
      <w:r>
        <w:rPr>
          <w:i/>
          <w:iCs/>
        </w:rPr>
        <w:t xml:space="preserve">Docling</w:t>
      </w:r>
      <w:r>
        <w:t xml:space="preserve"> with its TableFormer structure model (Livathinos et al.,</w:t>
      </w:r>
    </w:p>
    <w:p>
      <w:pPr>
        <w:spacing w:after="120"/>
      </w:pPr>
      <w:r>
        <w:t xml:space="preserve">2025, arXiv:2501.17887), </w:t>
      </w:r>
      <w:r>
        <w:rPr>
          <w:i/>
          <w:iCs/>
        </w:rPr>
        <w:t xml:space="preserve">PaddleOCR/PP-StructureV3</w:t>
      </w:r>
      <w:r>
        <w:t xml:space="preserve"> (Cui et al., 2025, arXiv:2507.05595),</w:t>
      </w:r>
    </w:p>
    <w:p>
      <w:pPr>
        <w:spacing w:after="120"/>
      </w:pPr>
      <w:r>
        <w:t xml:space="preserve">and the academic-document parser </w:t>
      </w:r>
      <w:r>
        <w:rPr>
          <w:i/>
          <w:iCs/>
        </w:rPr>
        <w:t xml:space="preserve">Nougat</w:t>
      </w:r>
      <w:r>
        <w:t xml:space="preserve"> (Blecher et al., 2023, arXiv:2308.13418). These</w:t>
      </w:r>
    </w:p>
    <w:p>
      <w:pPr>
        <w:spacing w:after="120"/>
      </w:pPr>
      <w:r>
        <w:t xml:space="preserve">run </w:t>
      </w:r>
      <w:r>
        <w:rPr>
          <w:b/>
          <w:bCs/>
        </w:rPr>
        <w:t xml:space="preserve">on CPU</w:t>
      </w:r>
      <w:r>
        <w:t xml:space="preserve"> (Docling reports ~0.79 s/page median on CPU; ~0.11 s/page on a modest GPU),</w:t>
      </w:r>
    </w:p>
    <w:p>
      <w:pPr>
        <w:spacing w:after="120"/>
      </w:pPr>
      <w:r>
        <w:t xml:space="preserve">which matters for on-premises deployment. (ii) </w:t>
      </w:r>
      <w:r>
        <w:rPr>
          <w:b/>
          <w:bCs/>
        </w:rPr>
        <w:t xml:space="preserve">OCR-free vision retrieval</w:t>
      </w:r>
      <w:r>
        <w:t xml:space="preserve"> embeds page</w:t>
      </w:r>
    </w:p>
    <w:p>
      <w:pPr>
        <w:spacing w:after="120"/>
      </w:pPr>
      <w:r>
        <w:t xml:space="preserve">images directly and matches with late interaction: </w:t>
      </w:r>
      <w:r>
        <w:rPr>
          <w:i/>
          <w:iCs/>
        </w:rPr>
        <w:t xml:space="preserve">ColPali</w:t>
      </w:r>
      <w:r>
        <w:t xml:space="preserve"> (Faysse et al., 2024,</w:t>
      </w:r>
    </w:p>
    <w:p>
      <w:pPr>
        <w:spacing w:after="120"/>
      </w:pPr>
      <w:r>
        <w:t xml:space="preserve">arXiv:2407.01449) reports </w:t>
      </w:r>
      <w:r>
        <w:rPr>
          <w:b/>
          <w:bCs/>
        </w:rPr>
        <w:t xml:space="preserve">81.3 vs 67.0 nDCG@5</w:t>
      </w:r>
      <w:r>
        <w:t xml:space="preserve"> over the strongest text-extraction</w:t>
      </w:r>
    </w:p>
    <w:p>
      <w:pPr>
        <w:spacing w:after="120"/>
      </w:pPr>
      <w:r>
        <w:t xml:space="preserve">baseline on the ViDoRe benchmark (a </w:t>
      </w:r>
      <w:r>
        <w:rPr>
          <w:b/>
          <w:bCs/>
        </w:rPr>
        <w:t xml:space="preserve">+14.3</w:t>
      </w:r>
      <w:r>
        <w:t xml:space="preserve"> gain) and </w:t>
      </w:r>
      <w:r>
        <w:rPr>
          <w:b/>
          <w:bCs/>
        </w:rPr>
        <w:t xml:space="preserve">83.9 nDCG@5</w:t>
      </w:r>
      <w:r>
        <w:t xml:space="preserve"> on the</w:t>
      </w:r>
    </w:p>
    <w:p>
      <w:pPr>
        <w:spacing w:after="120"/>
      </w:pPr>
      <w:r>
        <w:t xml:space="preserve">table-specific TabFQuAD set; </w:t>
      </w:r>
      <w:r>
        <w:rPr>
          <w:i/>
          <w:iCs/>
        </w:rPr>
        <w:t xml:space="preserve">VisRAG</w:t>
      </w:r>
      <w:r>
        <w:t xml:space="preserve"> (Yu et al., 2024, arXiv:2410.10594) reports **~40%</w:t>
      </w:r>
    </w:p>
    <w:p>
      <w:pPr>
        <w:spacing w:after="120"/>
      </w:pPr>
      <w:r>
        <w:t xml:space="preserve">average*</w:t>
      </w:r>
      <w:r>
        <w:rPr>
          <w:i/>
          <w:iCs/>
        </w:rPr>
        <w:t xml:space="preserve"> relative improvement over text-based RAG; </w:t>
      </w:r>
      <w:r>
        <w:t xml:space="preserve">M3DocRAG* (Cho et al., 2024,</w:t>
      </w:r>
    </w:p>
    <w:p>
      <w:pPr>
        <w:spacing w:after="120"/>
      </w:pPr>
      <w:r>
        <w:t xml:space="preserve">arXiv:2411.04952) extends this to multi-page scale. Vision approaches are typically</w:t>
      </w:r>
    </w:p>
    <w:p>
      <w:pPr>
        <w:spacing w:after="120"/>
      </w:pPr>
      <w:r>
        <w:rPr>
          <w:b/>
          <w:bCs/>
        </w:rPr>
        <w:t xml:space="preserve">GPU-dependent (~8–16 GB)</w:t>
      </w:r>
      <w:r>
        <w:t xml:space="preserve">, creating a genuine accuracy-versus-deployability tension for</w:t>
      </w:r>
    </w:p>
    <w:p>
      <w:pPr>
        <w:spacing w:after="120"/>
      </w:pPr>
      <w:r>
        <w:t xml:space="preserve">a privacy-constrained, on-premises setting — the central empirical question here.</w:t>
      </w:r>
    </w:p>
    <w:p>
      <w:pPr>
        <w:spacing w:after="120"/>
      </w:pPr>
      <w:r>
        <w:t xml:space="preserve">Benchmarks such as </w:t>
      </w:r>
      <w:r>
        <w:rPr>
          <w:b/>
          <w:bCs/>
        </w:rPr>
        <w:t xml:space="preserve">OmniDocBench</w:t>
      </w:r>
      <w:r>
        <w:t xml:space="preserve"> (Ouyang et al., 2024, arXiv:2412.07626) evaluate</w:t>
      </w:r>
    </w:p>
    <w:p>
      <w:pPr>
        <w:spacing w:after="120"/>
      </w:pPr>
      <w:r>
        <w:t xml:space="preserve">parsers on diverse documents but not on ILSA statistical exhibits.</w:t>
      </w:r>
    </w:p>
    <w:p>
      <w:pPr>
        <w:spacing w:after="120"/>
      </w:pPr>
      <w:r>
        <w:rPr>
          <w:b/>
          <w:bCs/>
        </w:rPr>
        <w:t xml:space="preserve">Table question answering and the education gap.</w:t>
      </w:r>
      <w:r>
        <w:t xml:space="preserve"> Table-QA is an active field, but its</w:t>
      </w:r>
    </w:p>
    <w:p>
      <w:pPr>
        <w:spacing w:after="120"/>
      </w:pPr>
      <w:r>
        <w:t xml:space="preserve">benchmarks target other domains: finance (</w:t>
      </w:r>
      <w:r>
        <w:rPr>
          <w:b/>
          <w:bCs/>
        </w:rPr>
        <w:t xml:space="preserve">FinQA</w:t>
      </w:r>
      <w:r>
        <w:t xml:space="preserve">, Chen et al., 2021,</w:t>
      </w:r>
    </w:p>
    <w:p>
      <w:pPr>
        <w:spacing w:after="120"/>
      </w:pPr>
      <w:r>
        <w:t xml:space="preserve">arXiv:2109.00122; </w:t>
      </w:r>
      <w:r>
        <w:rPr>
          <w:b/>
          <w:bCs/>
        </w:rPr>
        <w:t xml:space="preserve">TAT-QA</w:t>
      </w:r>
      <w:r>
        <w:t xml:space="preserve">, Zhu et al., 2021; </w:t>
      </w:r>
      <w:r>
        <w:rPr>
          <w:b/>
          <w:bCs/>
        </w:rPr>
        <w:t xml:space="preserve">MultiHiertt</w:t>
      </w:r>
      <w:r>
        <w:t xml:space="preserve">, Zhao et al., 2022),</w:t>
      </w:r>
    </w:p>
    <w:p>
      <w:pPr>
        <w:spacing w:after="120"/>
      </w:pPr>
      <w:r>
        <w:t xml:space="preserve">airlines (AIT-QA), science (SciTab), and Wikipedia/industrial tables (WikiTableQuestions,</w:t>
      </w:r>
    </w:p>
    <w:p>
      <w:pPr>
        <w:spacing w:after="120"/>
      </w:pPr>
      <w:r>
        <w:t xml:space="preserve">TableBench). The closest ancestor, </w:t>
      </w:r>
      <w:r>
        <w:rPr>
          <w:b/>
          <w:bCs/>
        </w:rPr>
        <w:t xml:space="preserve">HiTab</w:t>
      </w:r>
      <w:r>
        <w:t xml:space="preserve"> (Cheng et al., 2022, arXiv:2108.06712;</w:t>
      </w:r>
    </w:p>
    <w:p>
      <w:pPr>
        <w:spacing w:after="120"/>
      </w:pPr>
      <w:r>
        <w:t xml:space="preserve">10,686 QA pairs over 3,597 hierarchical tables), draws on statistical-agency and Wikipedia</w:t>
      </w:r>
    </w:p>
    <w:p>
      <w:pPr>
        <w:spacing w:after="120"/>
      </w:pPr>
      <w:r>
        <w:t xml:space="preserve">tables — but **no existing benchmark targets international large-scale education</w:t>
      </w:r>
    </w:p>
    <w:p>
      <w:pPr>
        <w:spacing w:after="120"/>
      </w:pPr>
      <w:r>
        <w:t xml:space="preserve">assessment exhibits**, with their characteristic multi-level country/grade/sex headers,</w:t>
      </w:r>
    </w:p>
    <w:p>
      <w:pPr>
        <w:spacing w:after="120"/>
      </w:pPr>
      <w:r>
        <w:t xml:space="preserve">standard errors in parentheses, and significance-marked trend columns. Methods for</w:t>
      </w:r>
    </w:p>
    <w:p>
      <w:pPr>
        <w:spacing w:after="120"/>
      </w:pPr>
      <w:r>
        <w:t xml:space="preserve">table reasoning (Chain-of-Table, Wang et al., 2024, arXiv:2401.04398; TableRAG, Chen et</w:t>
      </w:r>
    </w:p>
    <w:p>
      <w:pPr>
        <w:spacing w:after="120"/>
      </w:pPr>
      <w:r>
        <w:t xml:space="preserve">al., 2024, arXiv:2410.04739) provide open baselines.</w:t>
      </w:r>
    </w:p>
    <w:p>
      <w:pPr>
        <w:spacing w:after="120"/>
      </w:pPr>
      <w:r>
        <w:rPr>
          <w:b/>
          <w:bCs/>
        </w:rPr>
        <w:t xml:space="preserve">Evaluation and the coverage artifact.</w:t>
      </w:r>
      <w:r>
        <w:t xml:space="preserve"> The prior study exposed a measurement trap: a</w:t>
      </w:r>
    </w:p>
    <w:p>
      <w:pPr>
        <w:spacing w:after="120"/>
      </w:pPr>
      <w:r>
        <w:t xml:space="preserve">raw multi-chunk context dump scored 0.827 on a coverage-oriented answer-correctness metric</w:t>
      </w:r>
    </w:p>
    <w:p>
      <w:pPr>
        <w:spacing w:after="120"/>
      </w:pPr>
      <w:r>
        <w:t xml:space="preserve">because that metric rewarded fact coverage and did not penalize verbosity. For statistical</w:t>
      </w:r>
    </w:p>
    <w:p>
      <w:pPr>
        <w:spacing w:after="120"/>
      </w:pPr>
      <w:r>
        <w:t xml:space="preserve">answers this is unacceptable — a reported percentage or standard error must match to the</w:t>
      </w:r>
    </w:p>
    <w:p>
      <w:pPr>
        <w:spacing w:after="120"/>
      </w:pPr>
      <w:r>
        <w:t xml:space="preserve">reported precision. The evaluation literature therefore uses **numeric-exact match with</w:t>
      </w:r>
    </w:p>
    <w:p>
      <w:pPr>
        <w:spacing w:after="120"/>
      </w:pPr>
      <w:r>
        <w:t xml:space="preserve">tolerance</w:t>
      </w:r>
      <w:r>
        <w:rPr>
          <w:b/>
          <w:bCs/>
        </w:rPr>
        <w:t xml:space="preserve"> for numeric answers and </w:t>
      </w:r>
      <w:r>
        <w:t xml:space="preserve">structure metrics** such as GriTS (Smock et al.,</w:t>
      </w:r>
    </w:p>
    <w:p>
      <w:pPr>
        <w:spacing w:after="120"/>
      </w:pPr>
      <w:r>
        <w:t xml:space="preserve">2022, arXiv:2203.12555) / TEDS for table-structure recovery. This project adopts and</w:t>
      </w:r>
    </w:p>
    <w:p>
      <w:pPr>
        <w:spacing w:after="120"/>
      </w:pPr>
      <w:r>
        <w:t xml:space="preserve">adapts these to ILSA conventions. Retrieval enhancements with strong evidence and low</w:t>
      </w:r>
    </w:p>
    <w:p>
      <w:pPr>
        <w:spacing w:after="120"/>
      </w:pPr>
      <w:r>
        <w:t xml:space="preserve">implementation cost — Anthropic's </w:t>
      </w:r>
      <w:r>
        <w:rPr>
          <w:b/>
          <w:bCs/>
        </w:rPr>
        <w:t xml:space="preserve">Contextual Retrieval</w:t>
      </w:r>
      <w:r>
        <w:t xml:space="preserve"> (2024; up to 49% retrieval-</w:t>
      </w:r>
    </w:p>
    <w:p>
      <w:pPr>
        <w:spacing w:after="120"/>
      </w:pPr>
      <w:r>
        <w:t xml:space="preserve">failure reduction, 67% with reranking) and multi-representation embeddings such as</w:t>
      </w:r>
    </w:p>
    <w:p>
      <w:pPr>
        <w:spacing w:after="120"/>
      </w:pPr>
      <w:r>
        <w:rPr>
          <w:b/>
          <w:bCs/>
        </w:rPr>
        <w:t xml:space="preserve">BGE-M3</w:t>
      </w:r>
      <w:r>
        <w:t xml:space="preserve"> (Chen et al., 2024, arXiv:2402.03216, whose sparse component captures exact</w:t>
      </w:r>
    </w:p>
    <w:p>
      <w:pPr>
        <w:spacing w:after="120"/>
      </w:pPr>
      <w:r>
        <w:t xml:space="preserve">numeric tokens) — are candidate levers, while heavier methods (RAPTOR, Sarthi et al.,</w:t>
      </w:r>
    </w:p>
    <w:p>
      <w:pPr>
        <w:spacing w:after="120"/>
      </w:pPr>
      <w:r>
        <w:t xml:space="preserve">2024; late chunking, Günther et al., 2024) are cited but out of scope to avoid over-</w:t>
      </w:r>
    </w:p>
    <w:p>
      <w:pPr>
        <w:spacing w:after="120"/>
      </w:pPr>
      <w:r>
        <w:t xml:space="preserve">engineering.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Research design (≤ 1,000 words)</w:t>
      </w:r>
    </w:p>
    <w:p>
      <w:pPr>
        <w:spacing w:after="120"/>
      </w:pPr>
      <w:r>
        <w:rPr>
          <w:b/>
          <w:bCs/>
        </w:rPr>
        <w:t xml:space="preserve">Research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RQ1 (motivation).</w:t>
      </w:r>
      <w:r>
        <w:t xml:space="preserve"> How much worse is current text-extraction RAG on table-sourced</w:t>
      </w:r>
    </w:p>
    <w:p>
      <w:pPr>
        <w:spacing w:after="120"/>
      </w:pPr>
      <w:r>
        <w:t xml:space="preserve">vs prose-sourced questions over ILSA reports? (Quantify the silent-failure gap.)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RQ2 (paradigm).</w:t>
      </w:r>
      <w:r>
        <w:t xml:space="preserve"> Layout-aware text parsing vs OCR-free vision retrieval — which</w:t>
      </w:r>
    </w:p>
    <w:p>
      <w:pPr>
        <w:spacing w:after="120"/>
      </w:pPr>
      <w:r>
        <w:t xml:space="preserve">recovers </w:t>
      </w:r>
      <w:r>
        <w:rPr>
          <w:i/>
          <w:iCs/>
        </w:rPr>
        <w:t xml:space="preserve">exact</w:t>
      </w:r>
      <w:r>
        <w:t xml:space="preserve"> cell-level answers from ILSA exhibits, and at what compute/latency</w:t>
      </w:r>
    </w:p>
    <w:p>
      <w:pPr>
        <w:spacing w:after="120"/>
      </w:pPr>
      <w:r>
        <w:t xml:space="preserve">cost?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RQ3 (measurement).</w:t>
      </w:r>
      <w:r>
        <w:t xml:space="preserve"> What metric stack scores ILSA table-QA correctly (numeric-exact</w:t>
      </w:r>
    </w:p>
    <w:p>
      <w:pPr>
        <w:spacing w:after="120"/>
      </w:pPr>
      <w:r>
        <w:t xml:space="preserve">with tolerance + structure recovery) without the coverage artifact?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RQ4 (deployment).</w:t>
      </w:r>
      <w:r>
        <w:t xml:space="preserve"> What reference architecture and guidelines make table-aware RAG</w:t>
      </w:r>
    </w:p>
    <w:p>
      <w:pPr>
        <w:spacing w:after="120"/>
      </w:pPr>
      <w:r>
        <w:t xml:space="preserve">deployable under IEA's on-premises/privacy constraint (CPU-only vs modest-GPU tiers)?</w:t>
      </w:r>
    </w:p>
    <w:p>
      <w:pPr>
        <w:spacing w:after="120"/>
      </w:pPr>
      <w:r>
        <w:rPr>
          <w:b/>
          <w:bCs/>
        </w:rPr>
        <w:t xml:space="preserve">Corpus.</w:t>
      </w:r>
      <w:r>
        <w:t xml:space="preserve"> Public ILSA international reports and encyclopedia exhibits from </w:t>
      </w:r>
      <w:r>
        <w:rPr>
          <w:b/>
          <w:bCs/>
        </w:rPr>
        <w:t xml:space="preserve">≥3 studies</w:t>
      </w:r>
    </w:p>
    <w:p>
      <w:pPr>
        <w:spacing w:after="120"/>
      </w:pPr>
      <w:r>
        <w:t xml:space="preserve">(e.g., PIRLS 2021, TIMSS 2023, ICILS 2023), selected to span the exhibit taxonomy</w:t>
      </w:r>
    </w:p>
    <w:p>
      <w:pPr>
        <w:spacing w:after="120"/>
      </w:pPr>
      <w:r>
        <w:t xml:space="preserve">(achievement distributions, benchmark percentages, trend, group-gap, context-relationship,</w:t>
      </w:r>
    </w:p>
    <w:p>
      <w:pPr>
        <w:spacing w:after="120"/>
      </w:pPr>
      <w:r>
        <w:t xml:space="preserve">percentages-and-averages, policy-categorical). Multi-study, multi-country coverage is a</w:t>
      </w:r>
    </w:p>
    <w:p>
      <w:pPr>
        <w:spacing w:after="120"/>
      </w:pPr>
      <w:r>
        <w:t xml:space="preserve">stated call preference.</w:t>
      </w:r>
    </w:p>
    <w:p>
      <w:pPr>
        <w:spacing w:after="120"/>
      </w:pPr>
      <w:r>
        <w:rPr>
          <w:b/>
          <w:bCs/>
        </w:rPr>
        <w:t xml:space="preserve">Benchmark construction (ILSA-TableQA).</w:t>
      </w:r>
      <w:r>
        <w:t xml:space="preserve"> We sample exhibits across types and author</w:t>
      </w:r>
    </w:p>
    <w:p>
      <w:pPr>
        <w:spacing w:after="120"/>
      </w:pPr>
      <w:r>
        <w:rPr>
          <w:b/>
          <w:bCs/>
        </w:rPr>
        <w:t xml:space="preserve">~300–500</w:t>
      </w:r>
      <w:r>
        <w:t xml:space="preserve"> question–answer items. Each item records the study, cycle, source document</w:t>
      </w:r>
    </w:p>
    <w:p>
      <w:pPr>
        <w:spacing w:after="120"/>
      </w:pPr>
      <w:r>
        <w:t xml:space="preserve">and page, exhibit id and type, the question, a reasoning type, the answer kind, the gold</w:t>
      </w:r>
    </w:p>
    <w:p>
      <w:pPr>
        <w:spacing w:after="120"/>
      </w:pPr>
      <w:r>
        <w:t xml:space="preserve">answer, the target numeric value(s) and unit, a numeric tolerance, the gold cell</w:t>
      </w:r>
    </w:p>
    <w:p>
      <w:pPr>
        <w:spacing w:after="120"/>
      </w:pPr>
      <w:r>
        <w:t xml:space="preserve">coordinates, and the serialized gold table region. Questions are deliberately balanced</w:t>
      </w:r>
    </w:p>
    <w:p>
      <w:pPr>
        <w:spacing w:after="120"/>
      </w:pPr>
      <w:r>
        <w:rPr>
          <w:b/>
          <w:bCs/>
        </w:rPr>
        <w:t xml:space="preserve">away from single-fact lookups</w:t>
      </w:r>
      <w:r>
        <w:t xml:space="preserve"> (the prior eval was ~68% lookups) toward harder</w:t>
      </w:r>
    </w:p>
    <w:p>
      <w:pPr>
        <w:spacing w:after="120"/>
      </w:pPr>
      <w:r>
        <w:t xml:space="preserve">reasoning: standard-error reads, group gaps, trend direction, aggregation, and</w:t>
      </w:r>
    </w:p>
    <w:p>
      <w:pPr>
        <w:spacing w:after="120"/>
      </w:pPr>
      <w:r>
        <w:t xml:space="preserve">significance. Because answers are objective cell values, </w:t>
      </w:r>
      <w:r>
        <w:rPr>
          <w:b/>
          <w:bCs/>
        </w:rPr>
        <w:t xml:space="preserve">two annotators</w:t>
      </w:r>
      <w:r>
        <w:t xml:space="preserve"> independently</w:t>
      </w:r>
    </w:p>
    <w:p>
      <w:pPr>
        <w:spacing w:after="120"/>
      </w:pPr>
      <w:r>
        <w:t xml:space="preserve">re-derive gold for a random ~15% subset and we report exact-agreement inter-rater</w:t>
      </w:r>
    </w:p>
    <w:p>
      <w:pPr>
        <w:spacing w:after="120"/>
      </w:pPr>
      <w:r>
        <w:t xml:space="preserve">reliability; disagreements typically indicate an ambiguous question, which is then fixed.</w:t>
      </w:r>
    </w:p>
    <w:p>
      <w:pPr>
        <w:spacing w:after="120"/>
      </w:pPr>
      <w:r>
        <w:t xml:space="preserve">Sampling and any coverage caps are logged (no silent truncation). The item schema,</w:t>
      </w:r>
    </w:p>
    <w:p>
      <w:pPr>
        <w:spacing w:after="120"/>
      </w:pPr>
      <w:r>
        <w:t xml:space="preserve">annotation guidelines, and a validating linter already exist as a project artifact.</w:t>
      </w:r>
    </w:p>
    <w:p>
      <w:pPr>
        <w:spacing w:after="120"/>
      </w:pPr>
      <w:r>
        <w:rPr>
          <w:b/>
          <w:bCs/>
        </w:rPr>
        <w:t xml:space="preserve">Conditions (bounded matrix).</w:t>
      </w:r>
      <w:r>
        <w:t xml:space="preserve"> On identical inputs we compare: </w:t>
      </w:r>
      <w:r>
        <w:rPr>
          <w:b/>
          <w:bCs/>
        </w:rPr>
        <w:t xml:space="preserve">(baseline)</w:t>
      </w:r>
      <w:r>
        <w:t xml:space="preserve"> the prior</w:t>
      </w:r>
    </w:p>
    <w:p>
      <w:pPr>
        <w:spacing w:after="120"/>
      </w:pPr>
      <w:r>
        <w:t xml:space="preserve">text-flattening pipeline; </w:t>
      </w:r>
      <w:r>
        <w:rPr>
          <w:b/>
          <w:bCs/>
        </w:rPr>
        <w:t xml:space="preserve">(text paradigm)</w:t>
      </w:r>
      <w:r>
        <w:t xml:space="preserve"> Docling and PaddleOCR structure extraction →</w:t>
      </w:r>
    </w:p>
    <w:p>
      <w:pPr>
        <w:spacing w:after="120"/>
      </w:pPr>
      <w:r>
        <w:t xml:space="preserve">serialized table chunks → hybrid retrieval → LLM; </w:t>
      </w:r>
      <w:r>
        <w:rPr>
          <w:b/>
          <w:bCs/>
        </w:rPr>
        <w:t xml:space="preserve">(vision paradigm)</w:t>
      </w:r>
      <w:r>
        <w:t xml:space="preserve"> ColPali and</w:t>
      </w:r>
    </w:p>
    <w:p>
      <w:pPr>
        <w:spacing w:after="120"/>
      </w:pPr>
      <w:r>
        <w:t xml:space="preserve">ColQwen2 page-image retrieval → vision-language generation; and </w:t>
      </w:r>
      <w:r>
        <w:rPr>
          <w:b/>
          <w:bCs/>
        </w:rPr>
        <w:t xml:space="preserve">(enhancement)</w:t>
      </w:r>
    </w:p>
    <w:p>
      <w:pPr>
        <w:spacing w:after="120"/>
      </w:pPr>
      <w:r>
        <w:t xml:space="preserve">contextual-retrieval headers plus table serialization on the best text pipeline. Open</w:t>
      </w:r>
    </w:p>
    <w:p>
      <w:pPr>
        <w:spacing w:after="120"/>
      </w:pPr>
      <w:r>
        <w:t xml:space="preserve">table-QA methods (Chain-of-Table) serve as generation baselines. Generation uses a</w:t>
      </w:r>
    </w:p>
    <w:p>
      <w:pPr>
        <w:spacing w:after="120"/>
      </w:pPr>
      <w:r>
        <w:t xml:space="preserve">locally deployable open model, consistent with the privacy motivation; a hosted model is</w:t>
      </w:r>
    </w:p>
    <w:p>
      <w:pPr>
        <w:spacing w:after="120"/>
      </w:pPr>
      <w:r>
        <w:t xml:space="preserve">included only as an upper-reference where licensing permits.</w:t>
      </w:r>
    </w:p>
    <w:p>
      <w:pPr>
        <w:spacing w:after="120"/>
      </w:pPr>
      <w:r>
        <w:rPr>
          <w:b/>
          <w:bCs/>
        </w:rPr>
        <w:t xml:space="preserve">Metrics (RQ3).</w:t>
      </w:r>
      <w:r>
        <w:t xml:space="preserve"> Answer correctness is </w:t>
      </w:r>
      <w:r>
        <w:rPr>
          <w:b/>
          <w:bCs/>
        </w:rPr>
        <w:t xml:space="preserve">numeric-exact-match-with-tolerance</w:t>
      </w:r>
      <w:r>
        <w:t xml:space="preserve"> (per-unit</w:t>
      </w:r>
    </w:p>
    <w:p>
      <w:pPr>
        <w:spacing w:after="120"/>
      </w:pPr>
      <w:r>
        <w:t xml:space="preserve">defaults: percent ±0.05, scale score ±0.5, standard error ±0.05; counts exact),</w:t>
      </w:r>
    </w:p>
    <w:p>
      <w:pPr>
        <w:spacing w:after="120"/>
      </w:pPr>
      <w:r>
        <w:t xml:space="preserve">scored as F1 over the numbers extracted from an answer so that a verbose dump cannot</w:t>
      </w:r>
    </w:p>
    <w:p>
      <w:pPr>
        <w:spacing w:after="120"/>
      </w:pPr>
      <w:r>
        <w:t xml:space="preserve">score full marks. Non-numeric answers use direction/boolean/token-set scorers.</w:t>
      </w:r>
    </w:p>
    <w:p>
      <w:pPr>
        <w:spacing w:after="120"/>
      </w:pPr>
      <w:r>
        <w:t xml:space="preserve">Table-structure recovery uses GriTS-style content/topology (a working grid implementation</w:t>
      </w:r>
    </w:p>
    <w:p>
      <w:pPr>
        <w:spacing w:after="120"/>
      </w:pPr>
      <w:r>
        <w:t xml:space="preserve">exists; the reference GriTS/TEDS is the production upgrade). We report retrieval quality</w:t>
      </w:r>
    </w:p>
    <w:p>
      <w:pPr>
        <w:spacing w:after="120"/>
      </w:pPr>
      <w:r>
        <w:t xml:space="preserve">(nDCG@k, recall) separately to locate failures, and always break results down by reasoning</w:t>
      </w:r>
    </w:p>
    <w:p>
      <w:pPr>
        <w:spacing w:after="120"/>
      </w:pPr>
      <w:r>
        <w:t xml:space="preserve">type, exhibit type, and study.</w:t>
      </w:r>
    </w:p>
    <w:p>
      <w:pPr>
        <w:spacing w:after="120"/>
      </w:pPr>
      <w:r>
        <w:rPr>
          <w:b/>
          <w:bCs/>
        </w:rPr>
        <w:t xml:space="preserve">Deployment analysis (RQ4).</w:t>
      </w:r>
      <w:r>
        <w:t xml:space="preserve"> For each paradigm we record accuracy against **latency and</w:t>
      </w:r>
    </w:p>
    <w:p>
      <w:pPr>
        <w:spacing w:after="120"/>
      </w:pPr>
      <w:r>
        <w:t xml:space="preserve">peak VRAM**, distinguishing a CPU-only tier from a modest-GPU tier, and translate the</w:t>
      </w:r>
    </w:p>
    <w:p>
      <w:pPr>
        <w:spacing w:after="120"/>
      </w:pPr>
      <w:r>
        <w:t xml:space="preserve">trade-off into concrete on-premises deployment guidance — the IEA-specific research output</w:t>
      </w:r>
    </w:p>
    <w:p>
      <w:pPr>
        <w:spacing w:after="120"/>
      </w:pPr>
      <w:r>
        <w:t xml:space="preserve">that a generic table-QA study does not provide.</w:t>
      </w:r>
    </w:p>
    <w:p>
      <w:pPr>
        <w:spacing w:after="120"/>
      </w:pPr>
      <w:r>
        <w:rPr>
          <w:b/>
          <w:bCs/>
        </w:rPr>
        <w:t xml:space="preserve">Reproducibility &amp; rigor.</w:t>
      </w:r>
      <w:r>
        <w:t xml:space="preserve"> All runs go through a resumable, judge-free scoring harness</w:t>
      </w:r>
    </w:p>
    <w:p>
      <w:pPr>
        <w:spacing w:after="120"/>
      </w:pPr>
      <w:r>
        <w:t xml:space="preserve">(numeric-exact is deterministic and free). Small score differences are reported with</w:t>
      </w:r>
    </w:p>
    <w:p>
      <w:pPr>
        <w:spacing w:after="120"/>
      </w:pPr>
      <w:r>
        <w:t xml:space="preserve">run-to-run variation rather than over-interpreted. Code, data, and configurations are</w:t>
      </w:r>
    </w:p>
    <w:p>
      <w:pPr>
        <w:spacing w:after="120"/>
      </w:pPr>
      <w:r>
        <w:t xml:space="preserve">released open-access.</w:t>
      </w:r>
    </w:p>
    <w:p>
      <w:pPr>
        <w:spacing w:after="120"/>
      </w:pPr>
      <w:r>
        <w:rPr>
          <w:b/>
          <w:bCs/>
        </w:rPr>
        <w:t xml:space="preserve">De-risking already completed.</w:t>
      </w:r>
      <w:r>
        <w:t xml:space="preserve"> A numeric-exact scorer (26 passing assertions covering</w:t>
      </w:r>
    </w:p>
    <w:p>
      <w:pPr>
        <w:spacing w:after="120"/>
      </w:pPr>
      <w:r>
        <w:t xml:space="preserve">standard-errors-in-parentheses, significance markers, and the anti-coverage-artifact</w:t>
      </w:r>
    </w:p>
    <w:p>
      <w:pPr>
        <w:spacing w:after="120"/>
      </w:pPr>
      <w:r>
        <w:t xml:space="preserve">behavior), the item schema/linter, a scoring harness, and a Docling text-extraction</w:t>
      </w:r>
    </w:p>
    <w:p>
      <w:pPr>
        <w:spacing w:after="120"/>
      </w:pPr>
      <w:r>
        <w:t xml:space="preserve">adapter are already built and were validated on a real PIRLS exhibit (content/topology</w:t>
      </w:r>
    </w:p>
    <w:p>
      <w:pPr>
        <w:spacing w:after="120"/>
      </w:pPr>
      <w:r>
        <w:t xml:space="preserve">1.000 vs an independent gold on the shared region), demonstrating the pipeline end-to-end.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Potential impact (≤ 1,000 words)</w:t>
      </w:r>
    </w:p>
    <w:p>
      <w:pPr>
        <w:spacing w:after="120"/>
      </w:pPr>
      <w:r>
        <w:rPr>
          <w:b/>
          <w:bCs/>
        </w:rPr>
        <w:t xml:space="preserve">For IEA — a documented blocker removed.</w:t>
      </w:r>
      <w:r>
        <w:t xml:space="preserve"> Today, questions answerable only from exhibits</w:t>
      </w:r>
    </w:p>
    <w:p>
      <w:pPr>
        <w:spacing w:after="120"/>
      </w:pPr>
      <w:r>
        <w:t xml:space="preserve">fail silently in RAG tools built over IEA reports. Solving table reading unlocks the</w:t>
      </w:r>
    </w:p>
    <w:p>
      <w:pPr>
        <w:spacing w:after="120"/>
      </w:pPr>
      <w:r>
        <w:t xml:space="preserve">majority of quantitatively meaningful questions a secondary analyst, journalist, or</w:t>
      </w:r>
    </w:p>
    <w:p>
      <w:pPr>
        <w:spacing w:after="120"/>
      </w:pPr>
      <w:r>
        <w:t xml:space="preserve">policymaker would ask ("what percentage reached the High Benchmark", "did achievement rise</w:t>
      </w:r>
    </w:p>
    <w:p>
      <w:pPr>
        <w:spacing w:after="120"/>
      </w:pPr>
      <w:r>
        <w:t xml:space="preserve">since the last cycle", "how large is the sex gap"). This directly serves the reporting and</w:t>
      </w:r>
    </w:p>
    <w:p>
      <w:pPr>
        <w:spacing w:after="120"/>
      </w:pPr>
      <w:r>
        <w:t xml:space="preserve">dissemination phase of the study lifecycle and the "data visualization and communication</w:t>
      </w:r>
    </w:p>
    <w:p>
      <w:pPr>
        <w:spacing w:after="120"/>
      </w:pPr>
      <w:r>
        <w:t xml:space="preserve">of results" interest highlighted in the call.</w:t>
      </w:r>
    </w:p>
    <w:p>
      <w:pPr>
        <w:spacing w:after="120"/>
      </w:pPr>
      <w:r>
        <w:rPr>
          <w:b/>
          <w:bCs/>
        </w:rPr>
        <w:t xml:space="preserve">A reusable instrument, not a one-off.</w:t>
      </w:r>
      <w:r>
        <w:t xml:space="preserve"> ILSA-TableQA and its evaluation protocol are</w:t>
      </w:r>
    </w:p>
    <w:p>
      <w:pPr>
        <w:spacing w:after="120"/>
      </w:pPr>
      <w:r>
        <w:rPr>
          <w:b/>
          <w:bCs/>
        </w:rPr>
        <w:t xml:space="preserve">study- and cycle-agnostic</w:t>
      </w:r>
      <w:r>
        <w:t xml:space="preserve">. They give IEA a durable way to answer a recurring question</w:t>
      </w:r>
    </w:p>
    <w:p>
      <w:pPr>
        <w:spacing w:after="120"/>
      </w:pPr>
      <w:r>
        <w:t xml:space="preserve">as AI adoption grows: </w:t>
      </w:r>
      <w:r>
        <w:rPr>
          <w:i/>
          <w:iCs/>
        </w:rPr>
        <w:t xml:space="preserve">is a given tool accurate enough to trust with our numbers?</w:t>
      </w:r>
      <w:r>
        <w:t xml:space="preserve"> Because</w:t>
      </w:r>
    </w:p>
    <w:p>
      <w:pPr>
        <w:spacing w:after="120"/>
      </w:pPr>
      <w:r>
        <w:t xml:space="preserve">the metric demands exactness rather than plausibility, it provides an honest acceptance</w:t>
      </w:r>
    </w:p>
    <w:p>
      <w:pPr>
        <w:spacing w:after="120"/>
      </w:pPr>
      <w:r>
        <w:t xml:space="preserve">test for any future retrieval or extraction system — a contribution to trustworthiness and</w:t>
      </w:r>
    </w:p>
    <w:p>
      <w:pPr>
        <w:spacing w:after="120"/>
      </w:pPr>
      <w:r>
        <w:t xml:space="preserve">to reducing error in dissemination (a component of total survey error at the reporting</w:t>
      </w:r>
    </w:p>
    <w:p>
      <w:pPr>
        <w:spacing w:after="120"/>
      </w:pPr>
      <w:r>
        <w:t xml:space="preserve">stage).</w:t>
      </w:r>
    </w:p>
    <w:p>
      <w:pPr>
        <w:spacing w:after="120"/>
      </w:pPr>
      <w:r>
        <w:rPr>
          <w:b/>
          <w:bCs/>
        </w:rPr>
        <w:t xml:space="preserve">Privacy-relevant deployment evidence.</w:t>
      </w:r>
      <w:r>
        <w:t xml:space="preserve"> The prior project's motivation was</w:t>
      </w:r>
    </w:p>
    <w:p>
      <w:pPr>
        <w:spacing w:after="120"/>
      </w:pPr>
      <w:r>
        <w:t xml:space="preserve">privacy-preserving, on-premises operation (no transmission of IEA materials to external</w:t>
      </w:r>
    </w:p>
    <w:p>
      <w:pPr>
        <w:spacing w:after="120"/>
      </w:pPr>
      <w:r>
        <w:t xml:space="preserve">services). This project produces the missing evidence on whether the strongest table</w:t>
      </w:r>
    </w:p>
    <w:p>
      <w:pPr>
        <w:spacing w:after="120"/>
      </w:pPr>
      <w:r>
        <w:t xml:space="preserve">methods can meet that constraint: text-parsing paradigms run on CPU, while vision</w:t>
      </w:r>
    </w:p>
    <w:p>
      <w:pPr>
        <w:spacing w:after="120"/>
      </w:pPr>
      <w:r>
        <w:t xml:space="preserve">retrieval needs a GPU. Quantifying the accuracy cost of staying on-premises lets IEA and</w:t>
      </w:r>
    </w:p>
    <w:p>
      <w:pPr>
        <w:spacing w:after="120"/>
      </w:pPr>
      <w:r>
        <w:t xml:space="preserve">its study centers make an informed build decision — practical guidance no external</w:t>
      </w:r>
    </w:p>
    <w:p>
      <w:pPr>
        <w:spacing w:after="120"/>
      </w:pPr>
      <w:r>
        <w:t xml:space="preserve">benchmark offers.</w:t>
      </w:r>
    </w:p>
    <w:p>
      <w:pPr>
        <w:spacing w:after="120"/>
      </w:pPr>
      <w:r>
        <w:rPr>
          <w:b/>
          <w:bCs/>
        </w:rPr>
        <w:t xml:space="preserve">For the field — a first-of-kind benchmark.</w:t>
      </w:r>
      <w:r>
        <w:t xml:space="preserve"> Table-QA has matured in finance and general</w:t>
      </w:r>
    </w:p>
    <w:p>
      <w:pPr>
        <w:spacing w:after="120"/>
      </w:pPr>
      <w:r>
        <w:t xml:space="preserve">domains but has </w:t>
      </w:r>
      <w:r>
        <w:rPr>
          <w:b/>
          <w:bCs/>
        </w:rPr>
        <w:t xml:space="preserve">no</w:t>
      </w:r>
      <w:r>
        <w:t xml:space="preserve"> benchmark for international education-assessment statistics.</w:t>
      </w:r>
    </w:p>
    <w:p>
      <w:pPr>
        <w:spacing w:after="120"/>
      </w:pPr>
      <w:r>
        <w:t xml:space="preserve">ILSA-TableQA fills that gap and, being open, becomes shared infrastructure for the</w:t>
      </w:r>
    </w:p>
    <w:p>
      <w:pPr>
        <w:spacing w:after="120"/>
      </w:pPr>
      <w:r>
        <w:t xml:space="preserve">large-scale-assessment and NLP communities, extending IEA's methodological leadership into</w:t>
      </w:r>
    </w:p>
    <w:p>
      <w:pPr>
        <w:spacing w:after="120"/>
      </w:pPr>
      <w:r>
        <w:t xml:space="preserve">an area (applied ML/AI for assessment methods) explicitly encouraged by the call. Results</w:t>
      </w:r>
    </w:p>
    <w:p>
      <w:pPr>
        <w:spacing w:after="120"/>
      </w:pPr>
      <w:r>
        <w:t xml:space="preserve">are suitable for IEA's </w:t>
      </w:r>
      <w:r>
        <w:rPr>
          <w:i/>
          <w:iCs/>
        </w:rPr>
        <w:t xml:space="preserve">Large-scale Assessments in Education</w:t>
      </w:r>
      <w:r>
        <w:t xml:space="preserve"> journal and for presentation</w:t>
      </w:r>
    </w:p>
    <w:p>
      <w:pPr>
        <w:spacing w:after="120"/>
      </w:pPr>
      <w:r>
        <w:t xml:space="preserve">at the General Assembly or the International Research Conference.</w:t>
      </w:r>
    </w:p>
    <w:p>
      <w:pPr>
        <w:spacing w:after="120"/>
      </w:pPr>
      <w:r>
        <w:rPr>
          <w:b/>
          <w:bCs/>
        </w:rPr>
        <w:t xml:space="preserve">Efficiency and access.</w:t>
      </w:r>
      <w:r>
        <w:t xml:space="preserve"> By identifying which extraction approach recovers exhibit</w:t>
      </w:r>
    </w:p>
    <w:p>
      <w:pPr>
        <w:spacing w:after="120"/>
      </w:pPr>
      <w:r>
        <w:t xml:space="preserve">semantics at acceptable cost, the project reduces the manual effort of locating and</w:t>
      </w:r>
    </w:p>
    <w:p>
      <w:pPr>
        <w:spacing w:after="120"/>
      </w:pPr>
      <w:r>
        <w:t xml:space="preserve">transcribing values from lengthy PDFs, and lowers the barrier for non-expert users to</w:t>
      </w:r>
    </w:p>
    <w:p>
      <w:pPr>
        <w:spacing w:after="120"/>
      </w:pPr>
      <w:r>
        <w:t xml:space="preserve">obtain correct, source-attributed answers from ILSA reports.</w:t>
      </w:r>
    </w:p>
    <w:p>
      <w:pPr>
        <w:spacing w:after="120"/>
      </w:pPr>
      <w:r>
        <w:rPr>
          <w:b/>
          <w:bCs/>
        </w:rPr>
        <w:t xml:space="preserve">Low risk, high leverage.</w:t>
      </w:r>
      <w:r>
        <w:t xml:space="preserve"> The work depends on no confidential data and reuses existing,</w:t>
      </w:r>
    </w:p>
    <w:p>
      <w:pPr>
        <w:spacing w:after="120"/>
      </w:pPr>
      <w:r>
        <w:t xml:space="preserve">already-validated tooling, so its risk profile is low relative to its potential to change</w:t>
      </w:r>
    </w:p>
    <w:p>
      <w:pPr>
        <w:spacing w:after="120"/>
      </w:pPr>
      <w:r>
        <w:t xml:space="preserve">how ILSA results are queried and communicated.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Envisaged products (≤ 200 words)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ILSA-TableQA</w:t>
      </w:r>
      <w:r>
        <w:t xml:space="preserve"> — an open, documented benchmark dataset (~300–500 items across ≥3</w:t>
      </w:r>
    </w:p>
    <w:p>
      <w:pPr>
        <w:spacing w:after="120"/>
      </w:pPr>
      <w:r>
        <w:t xml:space="preserve">studies), with gold answers tied to cells and typed by reasoning demand.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Open-source evaluation harness</w:t>
      </w:r>
      <w:r>
        <w:t xml:space="preserve"> — numeric-exact-with-tolerance and table-structure</w:t>
      </w:r>
    </w:p>
    <w:p>
      <w:pPr>
        <w:spacing w:after="120"/>
      </w:pPr>
      <w:r>
        <w:t xml:space="preserve">metrics, resumable and judge-free (seeded implementation already exists).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Reference table-aware RAG integration</w:t>
      </w:r>
      <w:r>
        <w:t xml:space="preserve"> — extraction + retrieval + generation with</w:t>
      </w:r>
    </w:p>
    <w:p>
      <w:pPr>
        <w:spacing w:after="120"/>
      </w:pPr>
      <w:r>
        <w:t xml:space="preserve">CPU and modest-GPU deployment recipes.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Research report</w:t>
      </w:r>
      <w:r>
        <w:t xml:space="preserve"> (open-access grey literature) with the paradigm comparison,</w:t>
      </w:r>
    </w:p>
    <w:p>
      <w:pPr>
        <w:spacing w:after="120"/>
      </w:pPr>
      <w:r>
        <w:t xml:space="preserve">deployment guidance, and metric protocol; optionally a peer-reviewed article in</w:t>
      </w:r>
    </w:p>
    <w:p>
      <w:pPr>
        <w:spacing w:after="120"/>
      </w:pPr>
      <w:r>
        <w:rPr>
          <w:i/>
          <w:iCs/>
        </w:rPr>
        <w:t xml:space="preserve">Large-scale Assessments in Education</w:t>
      </w:r>
      <w:r>
        <w:t xml:space="preserve">.</w:t>
      </w:r>
    </w:p>
    <w:p>
      <w:pPr>
        <w:spacing w:after="120"/>
      </w:pPr>
      <w:r>
        <w:t xml:space="preserve">All code and data released openly to support reproducibility, per the call's preference.</w:t>
      </w:r>
    </w:p>
    <w:p>
      <w:pPr>
        <w:pStyle w:val="Heading2"/>
      </w:pPr>
      <w:r>
        <w:t xml:space="preserve">Required cooperation with IEA (≤ 500 words)</w:t>
      </w:r>
    </w:p>
    <w:p>
      <w:pPr>
        <w:spacing w:after="120"/>
      </w:pPr>
      <w:r>
        <w:t xml:space="preserve">The project is designed to require </w:t>
      </w:r>
      <w:r>
        <w:rPr>
          <w:b/>
          <w:bCs/>
        </w:rPr>
        <w:t xml:space="preserve">minimal cooperation and no confidential data</w:t>
      </w:r>
      <w:r>
        <w:t xml:space="preserve"> — it</w:t>
      </w:r>
    </w:p>
    <w:p>
      <w:pPr>
        <w:spacing w:after="120"/>
      </w:pPr>
      <w:r>
        <w:t xml:space="preserve">uses only public ILSA international reports and encyclopedia exhibits, and establishes</w:t>
      </w:r>
    </w:p>
    <w:p>
      <w:pPr>
        <w:spacing w:after="120"/>
      </w:pPr>
      <w:r>
        <w:t xml:space="preserve">ground truth with the project team (exhibit answers are objective). This keeps feasibility</w:t>
      </w:r>
    </w:p>
    <w:p>
      <w:pPr>
        <w:spacing w:after="120"/>
      </w:pPr>
      <w:r>
        <w:t xml:space="preserve">and data-availability risk low.</w:t>
      </w:r>
    </w:p>
    <w:p>
      <w:pPr>
        <w:spacing w:after="120"/>
      </w:pPr>
      <w:r>
        <w:t xml:space="preserve">Cooperation that would </w:t>
      </w:r>
      <w:r>
        <w:rPr>
          <w:i/>
          <w:iCs/>
        </w:rPr>
        <w:t xml:space="preserve">strengthen</w:t>
      </w:r>
      <w:r>
        <w:t xml:space="preserve"> (but is not required for) the work: (a) a brief</w:t>
      </w:r>
    </w:p>
    <w:p>
      <w:pPr>
        <w:spacing w:after="120"/>
      </w:pPr>
      <w:r>
        <w:rPr>
          <w:b/>
          <w:bCs/>
        </w:rPr>
        <w:t xml:space="preserve">non-duplication check</w:t>
      </w:r>
      <w:r>
        <w:t xml:space="preserve"> with the fund managers to confirm IEA does not already maintain</w:t>
      </w:r>
    </w:p>
    <w:p>
      <w:pPr>
        <w:spacing w:after="120"/>
      </w:pPr>
      <w:r>
        <w:t xml:space="preserve">an internal table-extraction pipeline; (b) pointers to the **canonical/authoritative</w:t>
      </w:r>
    </w:p>
    <w:p>
      <w:pPr>
        <w:spacing w:after="120"/>
      </w:pPr>
      <w:r>
        <w:t xml:space="preserve">versions** of relevant public reports and any machine-readable exhibit sources, to reduce</w:t>
      </w:r>
    </w:p>
    <w:p>
      <w:pPr>
        <w:spacing w:after="120"/>
      </w:pPr>
      <w:r>
        <w:t xml:space="preserve">PDF-parsing noise; (c) light </w:t>
      </w:r>
      <w:r>
        <w:rPr>
          <w:b/>
          <w:bCs/>
        </w:rPr>
        <w:t xml:space="preserve">review of the exhibit taxonomy</w:t>
      </w:r>
      <w:r>
        <w:t xml:space="preserve"> for fidelity to IEA</w:t>
      </w:r>
    </w:p>
    <w:p>
      <w:pPr>
        <w:spacing w:after="120"/>
      </w:pPr>
      <w:r>
        <w:t xml:space="preserve">reporting conventions; and (d) support for </w:t>
      </w:r>
      <w:r>
        <w:rPr>
          <w:b/>
          <w:bCs/>
        </w:rPr>
        <w:t xml:space="preserve">dissemination</w:t>
      </w:r>
      <w:r>
        <w:t xml:space="preserve"> (General Assembly / IRC</w:t>
      </w:r>
    </w:p>
    <w:p>
      <w:pPr>
        <w:spacing w:after="120"/>
      </w:pPr>
      <w:r>
        <w:t xml:space="preserve">presentation, and publication of outputs on the IEA website). Should IEA later wish to</w:t>
      </w:r>
    </w:p>
    <w:p>
      <w:pPr>
        <w:spacing w:after="120"/>
      </w:pPr>
      <w:r>
        <w:t xml:space="preserve">extend validation to non-public or internal documents, that would be a natural follow-on</w:t>
      </w:r>
    </w:p>
    <w:p>
      <w:pPr>
        <w:spacing w:after="120"/>
      </w:pPr>
      <w:r>
        <w:t xml:space="preserve">requiring a separate data agreement, and is explicitly out of scope here.</w:t>
      </w:r>
    </w:p>
    <w:p>
      <w:pPr>
        <w:pStyle w:val="Heading2"/>
      </w:pPr>
      <w:r>
        <w:t xml:space="preserve">Timeline and milestones (~9 months; start 1 Feb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Months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Milestone / deliverable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WP0 Scoping &amp; literature review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Corpus selected; exhibit taxonomy finalized; non-duplication confirmed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WP1 Benchmark construction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M1–3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~300–500 items authored; IRR on 15% subset; linter clean; v1 dataset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WP2 Baseline failure quantification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M2–3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RQ1 result: table-vs-prose gap measured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WP3 Paradigm comparison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M3–6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RQ2/RQ3 results across text &amp; vision paradigms + metrics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WP4 Reference integration &amp; deployment analysis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M6–8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RQ4: reference build + CPU/GPU deployment guidance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WP5 Reporting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M8–9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Draft report/dataset/code released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Peer review buffer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+~8 weeks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Mandatory peer review, revisions, final outputs by Dec 2027</w:t>
            </w:r>
          </w:p>
        </w:tc>
      </w:tr>
    </w:tbl>
    <w:p>
      <w:pPr>
        <w:pStyle w:val="Heading2"/>
      </w:pPr>
      <w:r>
        <w:t xml:space="preserve">Budget, notes, and justification (Tier 1, EUR; ≤ €55,000)</w:t>
      </w:r>
    </w:p>
    <w:p>
      <w:pPr>
        <w:spacing w:after="120"/>
      </w:pPr>
      <w:r>
        <w:rPr>
          <w:i/>
          <w:iCs/>
        </w:rPr>
        <w:t xml:space="preserve">Daily rate is a placeholder — insert the actual rate(s).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Days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Rate (illustrative)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WP0 scoping &amp; lit review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€3,200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WP1 benchmark construction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€15,200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WP2 baseline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€3,200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WP3 paradigm comparison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€13,600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WP4 integration &amp; deployment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€7,200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WP5 report &amp; revisions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€5,600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Staff subtotal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€48,000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Direct: GPU on-demand rental (vision-RAG runs)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€800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Direct: open-access APC (if journal route)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€2,000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Direct: compute/storage/misc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€300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~€51,100</w:t>
            </w:r>
          </w:p>
        </w:tc>
      </w:tr>
    </w:tbl>
    <w:p>
      <w:pPr>
        <w:spacing w:after="120"/>
      </w:pPr>
      <w:r>
        <w:rPr>
          <w:i/>
          <w:iCs/>
        </w:rPr>
        <w:t xml:space="preserve">Notes.</w:t>
      </w:r>
      <w:r>
        <w:t xml:space="preserve"> Overheads kept minimal per call guidance. The main new direct cost is modest-GPU</w:t>
      </w:r>
    </w:p>
    <w:p>
      <w:pPr>
        <w:spacing w:after="120"/>
      </w:pPr>
      <w:r>
        <w:t xml:space="preserve">rental for the vision paradigm. Headroom to €55k is deliberate but modest; if the real</w:t>
      </w:r>
    </w:p>
    <w:p>
      <w:pPr>
        <w:spacing w:after="120"/>
      </w:pPr>
      <w:r>
        <w:t xml:space="preserve">daily rate is higher, reduce benchmark size or drop the APC rather than cut rigor.</w:t>
      </w:r>
    </w:p>
    <w:p>
      <w:pPr>
        <w:pStyle w:val="Heading2"/>
      </w:pPr>
      <w: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Lead researcher:</w:t>
      </w:r>
      <w:r>
        <w:t xml:space="preserve"> </w:t>
      </w:r>
      <w:r>
        <w:rPr>
          <w:rFonts w:ascii="Consolas" w:cs="Consolas" w:eastAsia="Consolas" w:hAnsi="Consolas"/>
          <w:color w:val="444444"/>
        </w:rPr>
        <w:t xml:space="preserve">[NAME, ROLE, IEA Hamburg / affiliation]</w:t>
      </w:r>
      <w:r>
        <w:t xml:space="preserve"> — designed and executed</w:t>
      </w:r>
    </w:p>
    <w:p>
      <w:pPr>
        <w:spacing w:after="120"/>
      </w:pPr>
      <w:r>
        <w:t xml:space="preserve">the prior PIRLS RAG evaluation and built the evaluation harness and benchmark scaffolding</w:t>
      </w:r>
    </w:p>
    <w:p>
      <w:pPr>
        <w:spacing w:after="120"/>
      </w:pPr>
      <w:r>
        <w:t xml:space="preserve">this project extends (demonstrated capability; de-risks timeline and team criteria).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member(s):</w:t>
      </w:r>
      <w:r>
        <w:t xml:space="preserve"> </w:t>
      </w:r>
      <w:r>
        <w:rPr>
          <w:rFonts w:ascii="Consolas" w:cs="Consolas" w:eastAsia="Consolas" w:hAnsi="Consolas"/>
          <w:color w:val="444444"/>
        </w:rPr>
        <w:t xml:space="preserve">[NAME(S), ROLES — e.g., annotation lead, ML engineer]</w:t>
      </w:r>
      <w:r>
        <w:t xml:space="preserve"> (≤250 words</w:t>
      </w:r>
    </w:p>
    <w:p>
      <w:pPr>
        <w:spacing w:after="120"/>
      </w:pPr>
      <w:r>
        <w:t xml:space="preserve">each bio at submission).</w:t>
      </w:r>
    </w:p>
    <w:p>
      <w:pPr>
        <w:pStyle w:val="Heading2"/>
      </w:pPr>
      <w:r>
        <w:t xml:space="preserve">References (verified 2026-07-02; confirm final formatting before submission)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Blecher, L. et al. (2023). </w:t>
      </w:r>
      <w:r>
        <w:rPr>
          <w:i/>
          <w:iCs/>
        </w:rPr>
        <w:t xml:space="preserve">Nougat: Neural Optical Understanding for Academic Documents.</w:t>
      </w:r>
      <w:r>
        <w:t xml:space="preserve"> arXiv:2308.13418.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Chen, J. et al. (2024). </w:t>
      </w:r>
      <w:r>
        <w:rPr>
          <w:i/>
          <w:iCs/>
        </w:rPr>
        <w:t xml:space="preserve">M3-Embedding (BGE-M3).</w:t>
      </w:r>
      <w:r>
        <w:t xml:space="preserve"> arXiv:2402.03216.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Chen, S.-A. et al. (2024). </w:t>
      </w:r>
      <w:r>
        <w:rPr>
          <w:i/>
          <w:iCs/>
        </w:rPr>
        <w:t xml:space="preserve">TableRAG: Million-Token Table Understanding with Language Models.</w:t>
      </w:r>
      <w:r>
        <w:t xml:space="preserve"> arXiv:2410.04739 (NeurIPS 2024).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Chen, Z. et al. (2021). </w:t>
      </w:r>
      <w:r>
        <w:rPr>
          <w:i/>
          <w:iCs/>
        </w:rPr>
        <w:t xml:space="preserve">FinQA: A Dataset of Numerical Reasoning over Financial Data.</w:t>
      </w:r>
      <w:r>
        <w:t xml:space="preserve"> arXiv:2109.00122 (EMNLP 2021).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Cheng, Z. et al. (2022). </w:t>
      </w:r>
      <w:r>
        <w:rPr>
          <w:i/>
          <w:iCs/>
        </w:rPr>
        <w:t xml:space="preserve">HiTab: A Hierarchical Table Dataset for QA and NLG.</w:t>
      </w:r>
      <w:r>
        <w:t xml:space="preserve"> arXiv:2108.06712 (ACL 2022).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Cho, J. et al. (2024). </w:t>
      </w:r>
      <w:r>
        <w:rPr>
          <w:i/>
          <w:iCs/>
        </w:rPr>
        <w:t xml:space="preserve">M3DocRAG.</w:t>
      </w:r>
      <w:r>
        <w:t xml:space="preserve"> arXiv:2411.04952.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Cui, C. et al. (2025). </w:t>
      </w:r>
      <w:r>
        <w:rPr>
          <w:i/>
          <w:iCs/>
        </w:rPr>
        <w:t xml:space="preserve">PaddleOCR 3.0 Technical Report.</w:t>
      </w:r>
      <w:r>
        <w:t xml:space="preserve"> arXiv:2507.05595.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Faysse, M. et al. (2024). </w:t>
      </w:r>
      <w:r>
        <w:rPr>
          <w:i/>
          <w:iCs/>
        </w:rPr>
        <w:t xml:space="preserve">ColPali: Efficient Document Retrieval with Vision Language Models.</w:t>
      </w:r>
      <w:r>
        <w:t xml:space="preserve"> arXiv:2407.01449 (ICLR 2025).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Günther, M. et al. (2024). </w:t>
      </w:r>
      <w:r>
        <w:rPr>
          <w:i/>
          <w:iCs/>
        </w:rPr>
        <w:t xml:space="preserve">Late Chunking.</w:t>
      </w:r>
      <w:r>
        <w:t xml:space="preserve"> arXiv:2409.04701.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Livathinos, N. et al. (2025). </w:t>
      </w:r>
      <w:r>
        <w:rPr>
          <w:i/>
          <w:iCs/>
        </w:rPr>
        <w:t xml:space="preserve">Docling.</w:t>
      </w:r>
      <w:r>
        <w:t xml:space="preserve"> arXiv:2501.17887.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Martin, M.O., Fraillon, J., &amp; Sibberns, H. (2025). </w:t>
      </w:r>
      <w:r>
        <w:rPr>
          <w:i/>
          <w:iCs/>
        </w:rPr>
        <w:t xml:space="preserve">Technical Standards for IEA Studies.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Ouyang, L. et al. (2024). </w:t>
      </w:r>
      <w:r>
        <w:rPr>
          <w:i/>
          <w:iCs/>
        </w:rPr>
        <w:t xml:space="preserve">OmniDocBench.</w:t>
      </w:r>
      <w:r>
        <w:t xml:space="preserve"> arXiv:2412.07626.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Sarthi, P. et al. (2024). </w:t>
      </w:r>
      <w:r>
        <w:rPr>
          <w:i/>
          <w:iCs/>
        </w:rPr>
        <w:t xml:space="preserve">RAPTOR.</w:t>
      </w:r>
      <w:r>
        <w:t xml:space="preserve"> arXiv:2401.18059.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Smock, B. et al. (2022). </w:t>
      </w:r>
      <w:r>
        <w:rPr>
          <w:i/>
          <w:iCs/>
        </w:rPr>
        <w:t xml:space="preserve">GriTS: Grid Table Similarity metric.</w:t>
      </w:r>
      <w:r>
        <w:t xml:space="preserve"> arXiv:2203.12555.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Strich, J. et al. (2025). </w:t>
      </w:r>
      <w:r>
        <w:rPr>
          <w:i/>
          <w:iCs/>
        </w:rPr>
        <w:t xml:space="preserve">T²-RAGBench.</w:t>
      </w:r>
      <w:r>
        <w:t xml:space="preserve"> arXiv:2506.12071.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Wang, Z. et al. (2024). </w:t>
      </w:r>
      <w:r>
        <w:rPr>
          <w:i/>
          <w:iCs/>
        </w:rPr>
        <w:t xml:space="preserve">Chain-of-Table.</w:t>
      </w:r>
      <w:r>
        <w:t xml:space="preserve"> arXiv:2401.04398.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Yu, S. et al. (2024). </w:t>
      </w:r>
      <w:r>
        <w:rPr>
          <w:i/>
          <w:iCs/>
        </w:rPr>
        <w:t xml:space="preserve">VisRAG: Vision-based RAG on Multi-modality Documents.</w:t>
      </w:r>
      <w:r>
        <w:t xml:space="preserve"> arXiv:2410.10594.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Zhao, Y. et al. (2022). </w:t>
      </w:r>
      <w:r>
        <w:rPr>
          <w:i/>
          <w:iCs/>
        </w:rPr>
        <w:t xml:space="preserve">MultiHiertt.</w:t>
      </w:r>
      <w:r>
        <w:t xml:space="preserve"> ACL 2022 (2022.acl-long.454).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Zhu, F. et al. (2021). </w:t>
      </w:r>
      <w:r>
        <w:rPr>
          <w:i/>
          <w:iCs/>
        </w:rPr>
        <w:t xml:space="preserve">TAT-QA.</w:t>
      </w:r>
      <w:r>
        <w:t xml:space="preserve"> ACL 2021 (2021.acl-long.254) / arXiv:2105.07624.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Anthropic (2024). </w:t>
      </w:r>
      <w:r>
        <w:rPr>
          <w:i/>
          <w:iCs/>
        </w:rPr>
        <w:t xml:space="preserve">Introducing Contextual Retrieval.</w:t>
      </w:r>
      <w:r>
        <w:t xml:space="preserve"> (blog, 19 Sep 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444444"/>
        </w:rPr>
        <w:t xml:space="preserve">[Prior project internal report: Information Retrieval Using RAG on PIRLS Documents (2026).]</w:t>
      </w:r>
    </w:p>
    <w:p>
      <w:pPr>
        <w:pStyle w:val="Heading2"/>
      </w:pPr>
      <w:r>
        <w:t xml:space="preserve">Declarations (complete at submission)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Conflicts of interest:</w:t>
      </w:r>
      <w:r>
        <w:t xml:space="preserve"> </w:t>
      </w:r>
      <w:r>
        <w:rPr>
          <w:rFonts w:ascii="Consolas" w:cs="Consolas" w:eastAsia="Consolas" w:hAnsi="Consolas"/>
          <w:color w:val="444444"/>
        </w:rPr>
        <w:t xml:space="preserve">[none / declare]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 of generative AI:</w:t>
      </w:r>
      <w:r>
        <w:t xml:space="preserve"> AI tools assisted with preliminary brainstorming, source</w:t>
      </w:r>
    </w:p>
    <w:p>
      <w:pPr>
        <w:spacing w:after="120"/>
      </w:pPr>
      <w:r>
        <w:t xml:space="preserve">identification, and building the accompanying open-source evaluation code/scaffolding;</w:t>
      </w:r>
    </w:p>
    <w:p>
      <w:pPr>
        <w:spacing w:after="120"/>
      </w:pPr>
      <w:r>
        <w:t xml:space="preserve">the intellectual proposal content (background, design, impact, timeline, budget,</w:t>
      </w:r>
    </w:p>
    <w:p>
      <w:pPr>
        <w:spacing w:after="120"/>
      </w:pPr>
      <w:r>
        <w:t xml:space="preserve">references) is the applicant's own. </w:t>
      </w:r>
      <w:r>
        <w:rPr>
          <w:rFonts w:ascii="Consolas" w:cs="Consolas" w:eastAsia="Consolas" w:hAnsi="Consolas"/>
          <w:color w:val="444444"/>
        </w:rPr>
        <w:t xml:space="preserve">[Finalize truthfully.]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Agreement to research-agreement terms:</w:t>
      </w:r>
      <w:r>
        <w:t xml:space="preserve"> </w:t>
      </w:r>
      <w:r>
        <w:rPr>
          <w:rFonts w:ascii="Consolas" w:cs="Consolas" w:eastAsia="Consolas" w:hAnsi="Consolas"/>
          <w:color w:val="444444"/>
        </w:rPr>
        <w:t xml:space="preserve">[confirm]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Authorized organizational representative:</w:t>
      </w:r>
      <w:r>
        <w:t xml:space="preserve"> </w:t>
      </w:r>
      <w:r>
        <w:rPr>
          <w:rFonts w:ascii="Consolas" w:cs="Consolas" w:eastAsia="Consolas" w:hAnsi="Consolas"/>
          <w:color w:val="444444"/>
        </w:rPr>
        <w:t xml:space="preserve">[name]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2026-07-02T17:44:06.137Z</dcterms:created>
  <dcterms:modified xsi:type="dcterms:W3CDTF">2026-07-02T17:44:06.138Z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