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All these lesson plans use the basic concept of “Breaking the Language Barrier”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 exercises described in Anna Krohn’s materials were done before any of the lessons below.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All these lessons were done in-class with the instructors walking around the room and helping students.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***Note: at least one student is now pursuing Greek classes as a result of being exposed to the Greek language through these exercises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Word study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-Choose a word or words in Latin or Greek (or both) that relates closely to your term paper project. E.g. those working on magic may want to look up “pharmakon”,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-Using the Perseus vocabulary tools, look up the word in context in ancient sources and in the LSJ.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-Write a short report detailing the meaning of this word in context and how you plan to integrate this knowledge into your research paper.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Birds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-Homework: read Aristophanes’ </w:t>
      </w:r>
      <w:r w:rsidDel="00000000" w:rsidR="00000000" w:rsidRPr="00000000">
        <w:rPr>
          <w:i w:val="1"/>
          <w:rtl w:val="0"/>
        </w:rPr>
        <w:t xml:space="preserve">Birds </w:t>
      </w:r>
      <w:r w:rsidDel="00000000" w:rsidR="00000000" w:rsidRPr="00000000">
        <w:rPr>
          <w:rtl w:val="0"/>
        </w:rPr>
        <w:t xml:space="preserve">on Perseus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class: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-Students divided into teams of 2, assigned a species of bird that occurs in Aristophanes’ Birds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-Using D’Arcy Thompson’s Glossary of Greek Birds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https://archive.org/details/glossaryofgreekb00thomrich</w:t>
        </w:r>
      </w:hyperlink>
      <w:r w:rsidDel="00000000" w:rsidR="00000000" w:rsidRPr="00000000">
        <w:rPr>
          <w:rtl w:val="0"/>
        </w:rPr>
        <w:t xml:space="preserve">, explain the effect of using this particular species of birds in the play or passage in which it comes 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Funerary epigrams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-Using the texts collected from Lattimore, Themes in Greek and Latin epitaphs, identify a word or words that you find significant in the collection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-Using the Perseus tools, look up your word in context in other ancient 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-Report to the class with an interpretation of this word in the context of your epigram. Pay attention to the date and geographical location of the epigram.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archive.org/details/glossaryofgreekb00thomrich" TargetMode="External"/></Relationships>
</file>