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96E" w:rsidRDefault="00BC696E" w:rsidP="00BC696E">
      <w:pPr>
        <w:pStyle w:val="Cabealho1"/>
        <w:jc w:val="center"/>
        <w:rPr>
          <w:lang w:val="en-US"/>
        </w:rPr>
      </w:pPr>
      <w:r>
        <w:rPr>
          <w:lang w:val="en-US"/>
        </w:rPr>
        <w:t>A2W – Economic Sustainability</w:t>
      </w:r>
    </w:p>
    <w:p w:rsidR="00BC696E" w:rsidRDefault="00BC696E" w:rsidP="00677B13">
      <w:pPr>
        <w:jc w:val="both"/>
        <w:rPr>
          <w:lang w:val="en-US"/>
        </w:rPr>
      </w:pPr>
    </w:p>
    <w:p w:rsidR="00677B13" w:rsidRDefault="00677B13" w:rsidP="00677B13">
      <w:pPr>
        <w:jc w:val="both"/>
        <w:rPr>
          <w:lang w:val="en-US"/>
        </w:rPr>
      </w:pPr>
      <w:r w:rsidRPr="00677B13">
        <w:rPr>
          <w:lang w:val="en-US"/>
        </w:rPr>
        <w:t>The A2W initiative aims to g</w:t>
      </w:r>
      <w:r w:rsidRPr="00677B13">
        <w:rPr>
          <w:lang w:val="en-US"/>
        </w:rPr>
        <w:t>iv</w:t>
      </w:r>
      <w:r w:rsidRPr="00677B13">
        <w:rPr>
          <w:lang w:val="en-US"/>
        </w:rPr>
        <w:t>e</w:t>
      </w:r>
      <w:r w:rsidRPr="00677B13">
        <w:rPr>
          <w:lang w:val="en-US"/>
        </w:rPr>
        <w:t xml:space="preserve"> back power of informed decision during pandemic or other crisis</w:t>
      </w:r>
      <w:r>
        <w:rPr>
          <w:lang w:val="en-US"/>
        </w:rPr>
        <w:t>, ensuring s</w:t>
      </w:r>
      <w:r w:rsidRPr="00677B13">
        <w:rPr>
          <w:lang w:val="en-US"/>
        </w:rPr>
        <w:t>o</w:t>
      </w:r>
      <w:r>
        <w:rPr>
          <w:lang w:val="en-US"/>
        </w:rPr>
        <w:t xml:space="preserve">cial, economic and health trust, </w:t>
      </w:r>
      <w:r w:rsidRPr="00677B13">
        <w:rPr>
          <w:lang w:val="en-US"/>
        </w:rPr>
        <w:t xml:space="preserve">implementing a data system </w:t>
      </w:r>
      <w:r>
        <w:rPr>
          <w:lang w:val="en-US"/>
        </w:rPr>
        <w:t xml:space="preserve">that will enable people to make informed </w:t>
      </w:r>
      <w:r w:rsidRPr="00677B13">
        <w:rPr>
          <w:lang w:val="en-US"/>
        </w:rPr>
        <w:t>decision</w:t>
      </w:r>
      <w:r>
        <w:rPr>
          <w:lang w:val="en-US"/>
        </w:rPr>
        <w:t>s</w:t>
      </w:r>
      <w:r w:rsidRPr="00677B13">
        <w:rPr>
          <w:lang w:val="en-US"/>
        </w:rPr>
        <w:t xml:space="preserve"> </w:t>
      </w:r>
      <w:r>
        <w:rPr>
          <w:lang w:val="en-US"/>
        </w:rPr>
        <w:t xml:space="preserve">when </w:t>
      </w:r>
      <w:r w:rsidRPr="00677B13">
        <w:rPr>
          <w:lang w:val="en-US"/>
        </w:rPr>
        <w:t>visiting public or commercial spaces or selecting a tourist destination</w:t>
      </w:r>
      <w:r>
        <w:rPr>
          <w:lang w:val="en-US"/>
        </w:rPr>
        <w:t>.</w:t>
      </w:r>
    </w:p>
    <w:p w:rsidR="00677B13" w:rsidRDefault="00677B13" w:rsidP="00677B13">
      <w:pPr>
        <w:jc w:val="both"/>
        <w:rPr>
          <w:lang w:val="en-US"/>
        </w:rPr>
      </w:pPr>
      <w:proofErr w:type="gramStart"/>
      <w:r>
        <w:rPr>
          <w:lang w:val="en-US"/>
        </w:rPr>
        <w:t>The system is supported by two commercial products</w:t>
      </w:r>
      <w:proofErr w:type="gramEnd"/>
      <w:r>
        <w:rPr>
          <w:lang w:val="en-US"/>
        </w:rPr>
        <w:t>, namely:</w:t>
      </w:r>
    </w:p>
    <w:p w:rsidR="00677B13" w:rsidRPr="00677B13" w:rsidRDefault="00677B13" w:rsidP="00677B13">
      <w:pPr>
        <w:pStyle w:val="PargrafodaLista"/>
        <w:numPr>
          <w:ilvl w:val="0"/>
          <w:numId w:val="1"/>
        </w:numPr>
        <w:jc w:val="both"/>
      </w:pPr>
      <w:r w:rsidRPr="00677B13">
        <w:t xml:space="preserve">A2W POD </w:t>
      </w:r>
      <w:r w:rsidRPr="00677B13">
        <w:rPr>
          <w:highlight w:val="yellow"/>
        </w:rPr>
        <w:t xml:space="preserve">(explicar melhor </w:t>
      </w:r>
      <w:r>
        <w:rPr>
          <w:highlight w:val="yellow"/>
        </w:rPr>
        <w:t>o produto</w:t>
      </w:r>
      <w:r w:rsidRPr="00677B13">
        <w:rPr>
          <w:highlight w:val="yellow"/>
        </w:rPr>
        <w:t>, sendo que aqui não domino</w:t>
      </w:r>
      <w:r>
        <w:rPr>
          <w:highlight w:val="yellow"/>
        </w:rPr>
        <w:t xml:space="preserve"> tecnicamente</w:t>
      </w:r>
      <w:r w:rsidRPr="00677B13">
        <w:rPr>
          <w:highlight w:val="yellow"/>
        </w:rPr>
        <w:t>)</w:t>
      </w:r>
    </w:p>
    <w:p w:rsidR="00677B13" w:rsidRDefault="00677B13" w:rsidP="00677B13">
      <w:pPr>
        <w:pStyle w:val="PargrafodaLista"/>
        <w:numPr>
          <w:ilvl w:val="0"/>
          <w:numId w:val="1"/>
        </w:numPr>
        <w:jc w:val="both"/>
        <w:rPr>
          <w:lang w:val="en-US"/>
        </w:rPr>
      </w:pPr>
      <w:r w:rsidRPr="00677B13">
        <w:rPr>
          <w:lang w:val="en-US"/>
        </w:rPr>
        <w:t>A2W POD</w:t>
      </w:r>
      <w:r w:rsidRPr="00677B13">
        <w:rPr>
          <w:lang w:val="en-US"/>
        </w:rPr>
        <w:t xml:space="preserve"> Software as a Service (SaaS)</w:t>
      </w:r>
    </w:p>
    <w:p w:rsidR="00677B13" w:rsidRPr="00677B13" w:rsidRDefault="00677B13" w:rsidP="00677B13">
      <w:pPr>
        <w:pStyle w:val="PargrafodaLista"/>
        <w:numPr>
          <w:ilvl w:val="0"/>
          <w:numId w:val="1"/>
        </w:numPr>
        <w:jc w:val="both"/>
        <w:rPr>
          <w:lang w:val="en-US"/>
        </w:rPr>
      </w:pPr>
      <w:r>
        <w:rPr>
          <w:lang w:val="en-US"/>
        </w:rPr>
        <w:t>A2W Database</w:t>
      </w:r>
    </w:p>
    <w:p w:rsidR="00677B13" w:rsidRDefault="00677B13" w:rsidP="00677B13">
      <w:pPr>
        <w:jc w:val="both"/>
        <w:rPr>
          <w:lang w:val="en-US"/>
        </w:rPr>
      </w:pPr>
    </w:p>
    <w:p w:rsidR="00677B13" w:rsidRDefault="00677B13" w:rsidP="00677B13">
      <w:pPr>
        <w:jc w:val="both"/>
        <w:rPr>
          <w:lang w:val="en-US"/>
        </w:rPr>
      </w:pPr>
      <w:r>
        <w:rPr>
          <w:lang w:val="en-US"/>
        </w:rPr>
        <w:t xml:space="preserve">Though both the product and the software are applicable to all areas where COVID19 or any other virus </w:t>
      </w:r>
      <w:proofErr w:type="gramStart"/>
      <w:r>
        <w:rPr>
          <w:lang w:val="en-US"/>
        </w:rPr>
        <w:t>could</w:t>
      </w:r>
      <w:r w:rsidR="0073030F">
        <w:rPr>
          <w:lang w:val="en-US"/>
        </w:rPr>
        <w:t xml:space="preserve"> be seen</w:t>
      </w:r>
      <w:proofErr w:type="gramEnd"/>
      <w:r w:rsidR="0073030F">
        <w:rPr>
          <w:lang w:val="en-US"/>
        </w:rPr>
        <w:t xml:space="preserve"> as a risk to public health, a viability analysis was developed only for the 27 countries of the European Union.</w:t>
      </w:r>
    </w:p>
    <w:p w:rsidR="0073030F" w:rsidRDefault="0073030F" w:rsidP="00677B13">
      <w:pPr>
        <w:jc w:val="both"/>
        <w:rPr>
          <w:lang w:val="en-US"/>
        </w:rPr>
      </w:pPr>
      <w:r>
        <w:rPr>
          <w:lang w:val="en-US"/>
        </w:rPr>
        <w:t>Therefore, the economic analysis took into consideration the following data:</w:t>
      </w:r>
    </w:p>
    <w:p w:rsidR="0073030F" w:rsidRDefault="0073030F" w:rsidP="00FF666E">
      <w:pPr>
        <w:pStyle w:val="PargrafodaLista"/>
        <w:numPr>
          <w:ilvl w:val="0"/>
          <w:numId w:val="2"/>
        </w:numPr>
        <w:jc w:val="both"/>
        <w:rPr>
          <w:lang w:val="en-US"/>
        </w:rPr>
      </w:pPr>
      <w:r w:rsidRPr="00466996">
        <w:rPr>
          <w:lang w:val="en-US"/>
        </w:rPr>
        <w:t>The development and operational costs of such a platform</w:t>
      </w:r>
      <w:r w:rsidR="00466996" w:rsidRPr="00466996">
        <w:rPr>
          <w:lang w:val="en-US"/>
        </w:rPr>
        <w:t>, in a total of 200.000€, including software development and h</w:t>
      </w:r>
      <w:r w:rsidR="00466996" w:rsidRPr="00466996">
        <w:rPr>
          <w:lang w:val="en-US"/>
        </w:rPr>
        <w:t>ardware configuration</w:t>
      </w:r>
      <w:r w:rsidR="00466996" w:rsidRPr="00466996">
        <w:rPr>
          <w:lang w:val="en-US"/>
        </w:rPr>
        <w:t>, as well as m</w:t>
      </w:r>
      <w:r w:rsidR="00466996">
        <w:rPr>
          <w:lang w:val="en-US"/>
        </w:rPr>
        <w:t>arketing and go to</w:t>
      </w:r>
      <w:r w:rsidR="00466996" w:rsidRPr="00466996">
        <w:rPr>
          <w:lang w:val="en-US"/>
        </w:rPr>
        <w:t xml:space="preserve"> </w:t>
      </w:r>
      <w:r w:rsidR="00466996">
        <w:rPr>
          <w:lang w:val="en-US"/>
        </w:rPr>
        <w:t>m</w:t>
      </w:r>
      <w:r w:rsidR="00466996" w:rsidRPr="00466996">
        <w:rPr>
          <w:lang w:val="en-US"/>
        </w:rPr>
        <w:t>arket</w:t>
      </w:r>
      <w:r w:rsidR="00466996">
        <w:rPr>
          <w:lang w:val="en-US"/>
        </w:rPr>
        <w:t xml:space="preserve"> funds</w:t>
      </w:r>
      <w:r w:rsidRPr="00466996">
        <w:rPr>
          <w:lang w:val="en-US"/>
        </w:rPr>
        <w:t xml:space="preserve">; </w:t>
      </w:r>
    </w:p>
    <w:p w:rsidR="00466996" w:rsidRPr="00466996" w:rsidRDefault="00466996" w:rsidP="00466996">
      <w:pPr>
        <w:pStyle w:val="PargrafodaLista"/>
        <w:numPr>
          <w:ilvl w:val="0"/>
          <w:numId w:val="2"/>
        </w:numPr>
        <w:jc w:val="both"/>
        <w:rPr>
          <w:lang w:val="en-US"/>
        </w:rPr>
      </w:pPr>
      <w:r>
        <w:rPr>
          <w:lang w:val="en-US"/>
        </w:rPr>
        <w:t>A monthly cost for operational costs, in order to sustain the s</w:t>
      </w:r>
      <w:r w:rsidRPr="00466996">
        <w:rPr>
          <w:lang w:val="en-US"/>
        </w:rPr>
        <w:t xml:space="preserve">erver infrastructure and </w:t>
      </w:r>
      <w:r>
        <w:rPr>
          <w:lang w:val="en-US"/>
        </w:rPr>
        <w:t>the ongoing support and development, of around 20.000€ a month in the first year;</w:t>
      </w:r>
    </w:p>
    <w:p w:rsidR="0073030F" w:rsidRDefault="0073030F" w:rsidP="000A43C1">
      <w:pPr>
        <w:pStyle w:val="PargrafodaLista"/>
        <w:numPr>
          <w:ilvl w:val="0"/>
          <w:numId w:val="2"/>
        </w:numPr>
        <w:jc w:val="both"/>
        <w:rPr>
          <w:lang w:val="en-US"/>
        </w:rPr>
      </w:pPr>
      <w:r>
        <w:rPr>
          <w:lang w:val="en-US"/>
        </w:rPr>
        <w:t>The cost of production of each product (A2W POD), sold at production cost</w:t>
      </w:r>
      <w:r w:rsidR="00466996">
        <w:rPr>
          <w:lang w:val="en-US"/>
        </w:rPr>
        <w:t xml:space="preserve"> of 99 euros</w:t>
      </w:r>
      <w:r>
        <w:rPr>
          <w:lang w:val="en-US"/>
        </w:rPr>
        <w:t>;</w:t>
      </w:r>
    </w:p>
    <w:p w:rsidR="0073030F" w:rsidRDefault="0073030F" w:rsidP="000A43C1">
      <w:pPr>
        <w:pStyle w:val="PargrafodaLista"/>
        <w:numPr>
          <w:ilvl w:val="0"/>
          <w:numId w:val="2"/>
        </w:numPr>
        <w:jc w:val="both"/>
        <w:rPr>
          <w:lang w:val="en-US"/>
        </w:rPr>
      </w:pPr>
      <w:r w:rsidRPr="0073030F">
        <w:rPr>
          <w:lang w:val="en-US"/>
        </w:rPr>
        <w:t>Number of companies acting in areas such as wholesale and r</w:t>
      </w:r>
      <w:r w:rsidRPr="0073030F">
        <w:rPr>
          <w:lang w:val="en-US"/>
        </w:rPr>
        <w:t>etail</w:t>
      </w:r>
      <w:r w:rsidRPr="0073030F">
        <w:rPr>
          <w:lang w:val="en-US"/>
        </w:rPr>
        <w:t>, r</w:t>
      </w:r>
      <w:r w:rsidRPr="0073030F">
        <w:rPr>
          <w:lang w:val="en-US"/>
        </w:rPr>
        <w:t xml:space="preserve">estaurants, hotels and </w:t>
      </w:r>
      <w:r w:rsidRPr="0073030F">
        <w:rPr>
          <w:lang w:val="en-US"/>
        </w:rPr>
        <w:t xml:space="preserve">similar, as well as other </w:t>
      </w:r>
      <w:r w:rsidRPr="0073030F">
        <w:rPr>
          <w:lang w:val="en-US"/>
        </w:rPr>
        <w:t>sectors</w:t>
      </w:r>
      <w:r w:rsidRPr="0073030F">
        <w:rPr>
          <w:lang w:val="en-US"/>
        </w:rPr>
        <w:t xml:space="preserve"> with potential public health risk (where population aggregates in high number). </w:t>
      </w:r>
      <w:r>
        <w:rPr>
          <w:lang w:val="en-US"/>
        </w:rPr>
        <w:t xml:space="preserve">Public Spaces </w:t>
      </w:r>
      <w:proofErr w:type="gramStart"/>
      <w:r>
        <w:rPr>
          <w:lang w:val="en-US"/>
        </w:rPr>
        <w:t>are also framed</w:t>
      </w:r>
      <w:proofErr w:type="gramEnd"/>
      <w:r>
        <w:rPr>
          <w:lang w:val="en-US"/>
        </w:rPr>
        <w:t xml:space="preserve"> into this analysis, given the fact that these areas are famous for aggregating high number of people for social events. This data was build trough real data gathered from the Portuguese economy, and estimated for the remaining 26 countries that actually compose the European Union;</w:t>
      </w:r>
    </w:p>
    <w:p w:rsidR="0073030F" w:rsidRDefault="0073030F" w:rsidP="000A43C1">
      <w:pPr>
        <w:pStyle w:val="PargrafodaLista"/>
        <w:numPr>
          <w:ilvl w:val="0"/>
          <w:numId w:val="2"/>
        </w:numPr>
        <w:jc w:val="both"/>
        <w:rPr>
          <w:lang w:val="en-US"/>
        </w:rPr>
      </w:pPr>
      <w:r>
        <w:rPr>
          <w:lang w:val="en-US"/>
        </w:rPr>
        <w:t>In accordance with the estimated companies in each market in the mentioned sectors, a</w:t>
      </w:r>
      <w:r w:rsidR="00466996">
        <w:rPr>
          <w:lang w:val="en-US"/>
        </w:rPr>
        <w:t xml:space="preserve"> conservative forecast of licenses was developed;</w:t>
      </w:r>
    </w:p>
    <w:p w:rsidR="00466996" w:rsidRDefault="00466996" w:rsidP="000A43C1">
      <w:pPr>
        <w:pStyle w:val="PargrafodaLista"/>
        <w:numPr>
          <w:ilvl w:val="0"/>
          <w:numId w:val="2"/>
        </w:numPr>
        <w:jc w:val="both"/>
        <w:rPr>
          <w:lang w:val="en-US"/>
        </w:rPr>
      </w:pPr>
      <w:r>
        <w:rPr>
          <w:lang w:val="en-US"/>
        </w:rPr>
        <w:t>The economic analysis takes into consideration a3 year period;</w:t>
      </w:r>
    </w:p>
    <w:p w:rsidR="00466996" w:rsidRDefault="00466996" w:rsidP="007C5C37">
      <w:pPr>
        <w:pStyle w:val="PargrafodaLista"/>
        <w:numPr>
          <w:ilvl w:val="0"/>
          <w:numId w:val="2"/>
        </w:numPr>
        <w:jc w:val="both"/>
        <w:rPr>
          <w:lang w:val="en-US"/>
        </w:rPr>
      </w:pPr>
      <w:r w:rsidRPr="00466996">
        <w:rPr>
          <w:lang w:val="en-US"/>
        </w:rPr>
        <w:t>The economic analysis assumes a t</w:t>
      </w:r>
      <w:r w:rsidRPr="00466996">
        <w:rPr>
          <w:lang w:val="en-US"/>
        </w:rPr>
        <w:t xml:space="preserve">otal </w:t>
      </w:r>
      <w:r w:rsidRPr="00466996">
        <w:rPr>
          <w:lang w:val="en-US"/>
        </w:rPr>
        <w:t>a</w:t>
      </w:r>
      <w:r w:rsidRPr="00466996">
        <w:rPr>
          <w:lang w:val="en-US"/>
        </w:rPr>
        <w:t xml:space="preserve">vailable </w:t>
      </w:r>
      <w:r w:rsidRPr="00466996">
        <w:rPr>
          <w:lang w:val="en-US"/>
        </w:rPr>
        <w:t>m</w:t>
      </w:r>
      <w:r w:rsidRPr="00466996">
        <w:rPr>
          <w:lang w:val="en-US"/>
        </w:rPr>
        <w:t xml:space="preserve">arket </w:t>
      </w:r>
      <w:r w:rsidRPr="00466996">
        <w:rPr>
          <w:lang w:val="en-US"/>
        </w:rPr>
        <w:t>of 500.825 entities (companies and public institutions) willing to acquire the A</w:t>
      </w:r>
      <w:r w:rsidRPr="00466996">
        <w:rPr>
          <w:lang w:val="en-US"/>
        </w:rPr>
        <w:t>2W POD</w:t>
      </w:r>
      <w:r w:rsidRPr="00466996">
        <w:rPr>
          <w:lang w:val="en-US"/>
        </w:rPr>
        <w:t xml:space="preserve">; </w:t>
      </w:r>
    </w:p>
    <w:p w:rsidR="00466996" w:rsidRPr="00466996" w:rsidRDefault="00466996" w:rsidP="007C5C37">
      <w:pPr>
        <w:pStyle w:val="PargrafodaLista"/>
        <w:numPr>
          <w:ilvl w:val="0"/>
          <w:numId w:val="2"/>
        </w:numPr>
        <w:jc w:val="both"/>
        <w:rPr>
          <w:lang w:val="en-US"/>
        </w:rPr>
      </w:pPr>
      <w:r w:rsidRPr="00466996">
        <w:rPr>
          <w:lang w:val="en-US"/>
        </w:rPr>
        <w:t xml:space="preserve">The economic analysis assumes a total available market </w:t>
      </w:r>
      <w:r>
        <w:rPr>
          <w:lang w:val="en-US"/>
        </w:rPr>
        <w:t xml:space="preserve">of 171.839 entities willing to acquire a license for the </w:t>
      </w:r>
      <w:r w:rsidRPr="00466996">
        <w:rPr>
          <w:lang w:val="en-US"/>
        </w:rPr>
        <w:t xml:space="preserve">A2W POD </w:t>
      </w:r>
      <w:r>
        <w:rPr>
          <w:lang w:val="en-US"/>
        </w:rPr>
        <w:t>SaaS;</w:t>
      </w:r>
      <w:r w:rsidRPr="00466996">
        <w:rPr>
          <w:lang w:val="en-US"/>
        </w:rPr>
        <w:tab/>
        <w:t xml:space="preserve"> </w:t>
      </w:r>
    </w:p>
    <w:p w:rsidR="00677B13" w:rsidRDefault="00677B13" w:rsidP="00677B13">
      <w:pPr>
        <w:jc w:val="both"/>
        <w:rPr>
          <w:lang w:val="en-US"/>
        </w:rPr>
      </w:pPr>
    </w:p>
    <w:p w:rsidR="00BC696E" w:rsidRDefault="00466996" w:rsidP="00677B13">
      <w:pPr>
        <w:jc w:val="both"/>
        <w:rPr>
          <w:lang w:val="en-US"/>
        </w:rPr>
      </w:pPr>
      <w:r>
        <w:rPr>
          <w:lang w:val="en-US"/>
        </w:rPr>
        <w:t xml:space="preserve">As a result, and assuming highly conservative projections, A2W seems to be an </w:t>
      </w:r>
      <w:r w:rsidR="00BC696E">
        <w:rPr>
          <w:lang w:val="en-US"/>
        </w:rPr>
        <w:t>exceptionally</w:t>
      </w:r>
      <w:r>
        <w:rPr>
          <w:lang w:val="en-US"/>
        </w:rPr>
        <w:t xml:space="preserve"> interesting solution in the scope of a new challenged society, aware of the need </w:t>
      </w:r>
      <w:r w:rsidR="00BC696E">
        <w:rPr>
          <w:lang w:val="en-US"/>
        </w:rPr>
        <w:t>for</w:t>
      </w:r>
      <w:r>
        <w:rPr>
          <w:lang w:val="en-US"/>
        </w:rPr>
        <w:t xml:space="preserve"> informed decisions</w:t>
      </w:r>
      <w:r w:rsidR="00BC696E">
        <w:rPr>
          <w:lang w:val="en-US"/>
        </w:rPr>
        <w:t xml:space="preserve"> and contributing to the expansion of an open data community. </w:t>
      </w:r>
    </w:p>
    <w:p w:rsidR="00BC696E" w:rsidRPr="00677B13" w:rsidRDefault="00BC696E" w:rsidP="00677B13">
      <w:pPr>
        <w:jc w:val="both"/>
        <w:rPr>
          <w:lang w:val="en-US"/>
        </w:rPr>
      </w:pPr>
      <w:r>
        <w:rPr>
          <w:lang w:val="en-US"/>
        </w:rPr>
        <w:t>Moreover, A2W commercial strategy seem to translate a sustainable and profitable business model, based in innovative solutions, and in off-the-shelf, ready to market products.</w:t>
      </w:r>
    </w:p>
    <w:p w:rsidR="00677B13" w:rsidRDefault="00677B13">
      <w:pPr>
        <w:rPr>
          <w:lang w:val="en-US"/>
        </w:rPr>
      </w:pPr>
    </w:p>
    <w:p w:rsidR="00677B13" w:rsidRDefault="00BC696E">
      <w:pPr>
        <w:rPr>
          <w:lang w:val="en-US"/>
        </w:rPr>
      </w:pPr>
      <w:r>
        <w:rPr>
          <w:lang w:val="en-US"/>
        </w:rPr>
        <w:t>Economic short information:</w:t>
      </w:r>
    </w:p>
    <w:tbl>
      <w:tblPr>
        <w:tblStyle w:val="Tabelacomgrelha"/>
        <w:tblW w:w="8974" w:type="dxa"/>
        <w:tblLook w:val="04A0" w:firstRow="1" w:lastRow="0" w:firstColumn="1" w:lastColumn="0" w:noHBand="0" w:noVBand="1"/>
      </w:tblPr>
      <w:tblGrid>
        <w:gridCol w:w="2830"/>
        <w:gridCol w:w="1507"/>
        <w:gridCol w:w="1697"/>
        <w:gridCol w:w="1421"/>
        <w:gridCol w:w="1519"/>
      </w:tblGrid>
      <w:tr w:rsidR="00BC696E" w:rsidRPr="00BC696E" w:rsidTr="00AE7168">
        <w:trPr>
          <w:trHeight w:val="270"/>
        </w:trPr>
        <w:tc>
          <w:tcPr>
            <w:tcW w:w="2830" w:type="dxa"/>
            <w:noWrap/>
            <w:hideMark/>
          </w:tcPr>
          <w:p w:rsidR="00BC696E" w:rsidRPr="00BC696E" w:rsidRDefault="00BC696E" w:rsidP="00BC696E">
            <w:pPr>
              <w:rPr>
                <w:rFonts w:cstheme="minorHAnsi"/>
                <w:b/>
                <w:bCs/>
                <w:sz w:val="18"/>
              </w:rPr>
            </w:pPr>
          </w:p>
        </w:tc>
        <w:tc>
          <w:tcPr>
            <w:tcW w:w="1507" w:type="dxa"/>
            <w:noWrap/>
            <w:hideMark/>
          </w:tcPr>
          <w:p w:rsidR="00BC696E" w:rsidRPr="00BC696E" w:rsidRDefault="00BC696E" w:rsidP="00BC696E">
            <w:pPr>
              <w:rPr>
                <w:rFonts w:cstheme="minorHAnsi"/>
                <w:b/>
                <w:bCs/>
                <w:sz w:val="18"/>
              </w:rPr>
            </w:pPr>
          </w:p>
        </w:tc>
        <w:tc>
          <w:tcPr>
            <w:tcW w:w="1697" w:type="dxa"/>
            <w:shd w:val="clear" w:color="auto" w:fill="000000" w:themeFill="text1"/>
            <w:noWrap/>
            <w:hideMark/>
          </w:tcPr>
          <w:p w:rsidR="00BC696E" w:rsidRPr="00BC696E" w:rsidRDefault="00BC696E" w:rsidP="00BC696E">
            <w:pPr>
              <w:jc w:val="center"/>
              <w:rPr>
                <w:rFonts w:cstheme="minorHAnsi"/>
                <w:b/>
                <w:bCs/>
                <w:sz w:val="18"/>
              </w:rPr>
            </w:pPr>
            <w:proofErr w:type="spellStart"/>
            <w:r w:rsidRPr="00BC696E">
              <w:rPr>
                <w:rFonts w:cstheme="minorHAnsi"/>
                <w:b/>
                <w:bCs/>
                <w:sz w:val="18"/>
              </w:rPr>
              <w:t>Year</w:t>
            </w:r>
            <w:proofErr w:type="spellEnd"/>
            <w:r w:rsidRPr="00BC696E">
              <w:rPr>
                <w:rFonts w:cstheme="minorHAnsi"/>
                <w:b/>
                <w:bCs/>
                <w:sz w:val="18"/>
              </w:rPr>
              <w:t xml:space="preserve"> 1</w:t>
            </w:r>
          </w:p>
        </w:tc>
        <w:tc>
          <w:tcPr>
            <w:tcW w:w="1421" w:type="dxa"/>
            <w:shd w:val="clear" w:color="auto" w:fill="000000" w:themeFill="text1"/>
            <w:noWrap/>
            <w:hideMark/>
          </w:tcPr>
          <w:p w:rsidR="00BC696E" w:rsidRPr="00BC696E" w:rsidRDefault="00BC696E" w:rsidP="00BC696E">
            <w:pPr>
              <w:jc w:val="center"/>
              <w:rPr>
                <w:rFonts w:cstheme="minorHAnsi"/>
                <w:b/>
                <w:bCs/>
                <w:sz w:val="18"/>
              </w:rPr>
            </w:pPr>
            <w:proofErr w:type="spellStart"/>
            <w:r w:rsidRPr="00BC696E">
              <w:rPr>
                <w:rFonts w:cstheme="minorHAnsi"/>
                <w:b/>
                <w:bCs/>
                <w:sz w:val="18"/>
              </w:rPr>
              <w:t>Year</w:t>
            </w:r>
            <w:proofErr w:type="spellEnd"/>
            <w:r w:rsidRPr="00BC696E">
              <w:rPr>
                <w:rFonts w:cstheme="minorHAnsi"/>
                <w:b/>
                <w:bCs/>
                <w:sz w:val="18"/>
              </w:rPr>
              <w:t xml:space="preserve"> 2</w:t>
            </w:r>
          </w:p>
        </w:tc>
        <w:tc>
          <w:tcPr>
            <w:tcW w:w="1519" w:type="dxa"/>
            <w:shd w:val="clear" w:color="auto" w:fill="000000" w:themeFill="text1"/>
            <w:noWrap/>
            <w:hideMark/>
          </w:tcPr>
          <w:p w:rsidR="00BC696E" w:rsidRPr="00BC696E" w:rsidRDefault="00BC696E" w:rsidP="00BC696E">
            <w:pPr>
              <w:jc w:val="center"/>
              <w:rPr>
                <w:rFonts w:cstheme="minorHAnsi"/>
                <w:b/>
                <w:bCs/>
                <w:sz w:val="18"/>
              </w:rPr>
            </w:pPr>
            <w:proofErr w:type="spellStart"/>
            <w:r w:rsidRPr="00BC696E">
              <w:rPr>
                <w:rFonts w:cstheme="minorHAnsi"/>
                <w:b/>
                <w:bCs/>
                <w:sz w:val="18"/>
              </w:rPr>
              <w:t>Year</w:t>
            </w:r>
            <w:proofErr w:type="spellEnd"/>
            <w:r w:rsidRPr="00BC696E">
              <w:rPr>
                <w:rFonts w:cstheme="minorHAnsi"/>
                <w:b/>
                <w:bCs/>
                <w:sz w:val="18"/>
              </w:rPr>
              <w:t xml:space="preserve"> 3</w:t>
            </w:r>
          </w:p>
        </w:tc>
      </w:tr>
      <w:tr w:rsidR="00BC696E" w:rsidRPr="00BC696E" w:rsidTr="00AE7168">
        <w:trPr>
          <w:trHeight w:val="260"/>
        </w:trPr>
        <w:tc>
          <w:tcPr>
            <w:tcW w:w="4337" w:type="dxa"/>
            <w:gridSpan w:val="2"/>
            <w:shd w:val="clear" w:color="auto" w:fill="F7CAAC" w:themeFill="accent2" w:themeFillTint="66"/>
            <w:noWrap/>
            <w:hideMark/>
          </w:tcPr>
          <w:p w:rsidR="00BC696E" w:rsidRPr="00BC696E" w:rsidRDefault="00BC696E" w:rsidP="00BC696E">
            <w:pPr>
              <w:jc w:val="center"/>
              <w:rPr>
                <w:rFonts w:cstheme="minorHAnsi"/>
                <w:b/>
                <w:bCs/>
                <w:sz w:val="18"/>
              </w:rPr>
            </w:pPr>
            <w:r w:rsidRPr="00BC696E">
              <w:rPr>
                <w:rFonts w:cstheme="minorHAnsi"/>
                <w:b/>
                <w:bCs/>
                <w:sz w:val="18"/>
              </w:rPr>
              <w:t>DEVELOPMENT COST</w:t>
            </w:r>
          </w:p>
        </w:tc>
        <w:tc>
          <w:tcPr>
            <w:tcW w:w="1697" w:type="dxa"/>
            <w:shd w:val="clear" w:color="auto" w:fill="F7CAAC" w:themeFill="accent2" w:themeFillTint="66"/>
            <w:noWrap/>
            <w:hideMark/>
          </w:tcPr>
          <w:p w:rsidR="00BC696E" w:rsidRPr="00BC696E" w:rsidRDefault="00BC696E" w:rsidP="00AE7168">
            <w:pPr>
              <w:jc w:val="center"/>
              <w:rPr>
                <w:rFonts w:cstheme="minorHAnsi"/>
                <w:b/>
                <w:bCs/>
                <w:sz w:val="18"/>
              </w:rPr>
            </w:pPr>
            <w:r w:rsidRPr="00BC696E">
              <w:rPr>
                <w:rFonts w:cstheme="minorHAnsi"/>
                <w:b/>
                <w:bCs/>
                <w:sz w:val="18"/>
              </w:rPr>
              <w:t>200 000,00 €</w:t>
            </w:r>
          </w:p>
        </w:tc>
        <w:tc>
          <w:tcPr>
            <w:tcW w:w="1421" w:type="dxa"/>
            <w:shd w:val="clear" w:color="auto" w:fill="F7CAAC" w:themeFill="accent2" w:themeFillTint="66"/>
            <w:noWrap/>
            <w:hideMark/>
          </w:tcPr>
          <w:p w:rsidR="00BC696E" w:rsidRPr="00BC696E" w:rsidRDefault="00BC696E" w:rsidP="00AE7168">
            <w:pPr>
              <w:jc w:val="center"/>
              <w:rPr>
                <w:rFonts w:cstheme="minorHAnsi"/>
                <w:b/>
                <w:bCs/>
                <w:sz w:val="18"/>
              </w:rPr>
            </w:pPr>
            <w:r w:rsidRPr="00BC696E">
              <w:rPr>
                <w:rFonts w:cstheme="minorHAnsi"/>
                <w:b/>
                <w:bCs/>
                <w:sz w:val="18"/>
              </w:rPr>
              <w:t>60 000,00 €</w:t>
            </w:r>
          </w:p>
        </w:tc>
        <w:tc>
          <w:tcPr>
            <w:tcW w:w="1519" w:type="dxa"/>
            <w:shd w:val="clear" w:color="auto" w:fill="F7CAAC" w:themeFill="accent2" w:themeFillTint="66"/>
            <w:noWrap/>
            <w:hideMark/>
          </w:tcPr>
          <w:p w:rsidR="00BC696E" w:rsidRPr="00BC696E" w:rsidRDefault="00BC696E" w:rsidP="00AE7168">
            <w:pPr>
              <w:jc w:val="center"/>
              <w:rPr>
                <w:rFonts w:cstheme="minorHAnsi"/>
                <w:b/>
                <w:bCs/>
                <w:sz w:val="18"/>
              </w:rPr>
            </w:pPr>
            <w:r w:rsidRPr="00BC696E">
              <w:rPr>
                <w:rFonts w:cstheme="minorHAnsi"/>
                <w:b/>
                <w:bCs/>
                <w:sz w:val="18"/>
              </w:rPr>
              <w:t>60 000,00 €</w:t>
            </w:r>
          </w:p>
        </w:tc>
      </w:tr>
      <w:tr w:rsidR="00BC696E" w:rsidRPr="00BC696E" w:rsidTr="00AE7168">
        <w:trPr>
          <w:trHeight w:val="260"/>
        </w:trPr>
        <w:tc>
          <w:tcPr>
            <w:tcW w:w="2830" w:type="dxa"/>
            <w:noWrap/>
            <w:hideMark/>
          </w:tcPr>
          <w:p w:rsidR="00BC696E" w:rsidRPr="00BC696E" w:rsidRDefault="00BC696E" w:rsidP="00BC696E">
            <w:pPr>
              <w:jc w:val="right"/>
              <w:rPr>
                <w:rFonts w:cstheme="minorHAnsi"/>
                <w:i/>
                <w:iCs/>
                <w:sz w:val="18"/>
              </w:rPr>
            </w:pPr>
            <w:r w:rsidRPr="00BC696E">
              <w:rPr>
                <w:rFonts w:cstheme="minorHAnsi"/>
                <w:i/>
                <w:iCs/>
                <w:sz w:val="18"/>
              </w:rPr>
              <w:t>A2W POD (</w:t>
            </w:r>
            <w:proofErr w:type="spellStart"/>
            <w:r w:rsidRPr="00BC696E">
              <w:rPr>
                <w:rFonts w:cstheme="minorHAnsi"/>
                <w:i/>
                <w:iCs/>
                <w:sz w:val="18"/>
              </w:rPr>
              <w:t>including</w:t>
            </w:r>
            <w:proofErr w:type="spellEnd"/>
            <w:r w:rsidRPr="00BC696E">
              <w:rPr>
                <w:rFonts w:cstheme="minorHAnsi"/>
                <w:i/>
                <w:iCs/>
                <w:sz w:val="18"/>
              </w:rPr>
              <w:t xml:space="preserve"> SaaS)</w:t>
            </w:r>
          </w:p>
        </w:tc>
        <w:tc>
          <w:tcPr>
            <w:tcW w:w="1507" w:type="dxa"/>
            <w:noWrap/>
            <w:hideMark/>
          </w:tcPr>
          <w:p w:rsidR="00BC696E" w:rsidRPr="00BC696E" w:rsidRDefault="00BC696E" w:rsidP="00BC696E">
            <w:pPr>
              <w:rPr>
                <w:rFonts w:cstheme="minorHAnsi"/>
                <w:sz w:val="18"/>
              </w:rPr>
            </w:pPr>
            <w:r w:rsidRPr="00BC696E">
              <w:rPr>
                <w:rFonts w:cstheme="minorHAnsi"/>
                <w:sz w:val="18"/>
              </w:rPr>
              <w:t xml:space="preserve">       200 000,00 € </w:t>
            </w:r>
          </w:p>
        </w:tc>
        <w:tc>
          <w:tcPr>
            <w:tcW w:w="1697" w:type="dxa"/>
            <w:noWrap/>
            <w:hideMark/>
          </w:tcPr>
          <w:p w:rsidR="00BC696E" w:rsidRPr="00BC696E" w:rsidRDefault="00BC696E" w:rsidP="00AE7168">
            <w:pPr>
              <w:jc w:val="center"/>
              <w:rPr>
                <w:rFonts w:cstheme="minorHAnsi"/>
                <w:sz w:val="18"/>
              </w:rPr>
            </w:pPr>
          </w:p>
        </w:tc>
        <w:tc>
          <w:tcPr>
            <w:tcW w:w="1421" w:type="dxa"/>
            <w:noWrap/>
            <w:hideMark/>
          </w:tcPr>
          <w:p w:rsidR="00BC696E" w:rsidRPr="00BC696E" w:rsidRDefault="00BC696E" w:rsidP="00AE7168">
            <w:pPr>
              <w:jc w:val="center"/>
              <w:rPr>
                <w:rFonts w:cstheme="minorHAnsi"/>
                <w:sz w:val="18"/>
              </w:rPr>
            </w:pPr>
          </w:p>
        </w:tc>
        <w:tc>
          <w:tcPr>
            <w:tcW w:w="1519" w:type="dxa"/>
            <w:noWrap/>
            <w:hideMark/>
          </w:tcPr>
          <w:p w:rsidR="00BC696E" w:rsidRPr="00BC696E" w:rsidRDefault="00BC696E" w:rsidP="00AE7168">
            <w:pPr>
              <w:jc w:val="center"/>
              <w:rPr>
                <w:rFonts w:cstheme="minorHAnsi"/>
                <w:sz w:val="18"/>
              </w:rPr>
            </w:pPr>
          </w:p>
        </w:tc>
      </w:tr>
      <w:tr w:rsidR="00BC696E" w:rsidRPr="00BC696E" w:rsidTr="00AE7168">
        <w:trPr>
          <w:trHeight w:val="120"/>
        </w:trPr>
        <w:tc>
          <w:tcPr>
            <w:tcW w:w="2830" w:type="dxa"/>
            <w:noWrap/>
            <w:hideMark/>
          </w:tcPr>
          <w:p w:rsidR="00BC696E" w:rsidRPr="00BC696E" w:rsidRDefault="00BC696E" w:rsidP="00BC696E">
            <w:pPr>
              <w:rPr>
                <w:rFonts w:cstheme="minorHAnsi"/>
                <w:sz w:val="18"/>
              </w:rPr>
            </w:pPr>
            <w:r w:rsidRPr="00BC696E">
              <w:rPr>
                <w:rFonts w:cstheme="minorHAnsi"/>
                <w:sz w:val="18"/>
              </w:rPr>
              <w:t> </w:t>
            </w:r>
          </w:p>
        </w:tc>
        <w:tc>
          <w:tcPr>
            <w:tcW w:w="1507" w:type="dxa"/>
            <w:noWrap/>
            <w:hideMark/>
          </w:tcPr>
          <w:p w:rsidR="00BC696E" w:rsidRPr="00BC696E" w:rsidRDefault="00BC696E" w:rsidP="00BC696E">
            <w:pPr>
              <w:rPr>
                <w:rFonts w:cstheme="minorHAnsi"/>
                <w:sz w:val="18"/>
              </w:rPr>
            </w:pPr>
            <w:r w:rsidRPr="00BC696E">
              <w:rPr>
                <w:rFonts w:cstheme="minorHAnsi"/>
                <w:sz w:val="18"/>
              </w:rPr>
              <w:t> </w:t>
            </w:r>
          </w:p>
        </w:tc>
        <w:tc>
          <w:tcPr>
            <w:tcW w:w="1697" w:type="dxa"/>
            <w:noWrap/>
            <w:hideMark/>
          </w:tcPr>
          <w:p w:rsidR="00BC696E" w:rsidRPr="00BC696E" w:rsidRDefault="00BC696E" w:rsidP="00AE7168">
            <w:pPr>
              <w:jc w:val="center"/>
              <w:rPr>
                <w:rFonts w:cstheme="minorHAnsi"/>
                <w:sz w:val="18"/>
              </w:rPr>
            </w:pPr>
          </w:p>
        </w:tc>
        <w:tc>
          <w:tcPr>
            <w:tcW w:w="1421" w:type="dxa"/>
            <w:noWrap/>
            <w:hideMark/>
          </w:tcPr>
          <w:p w:rsidR="00BC696E" w:rsidRPr="00BC696E" w:rsidRDefault="00BC696E" w:rsidP="00AE7168">
            <w:pPr>
              <w:jc w:val="center"/>
              <w:rPr>
                <w:rFonts w:cstheme="minorHAnsi"/>
                <w:sz w:val="18"/>
              </w:rPr>
            </w:pPr>
          </w:p>
        </w:tc>
        <w:tc>
          <w:tcPr>
            <w:tcW w:w="1519" w:type="dxa"/>
            <w:noWrap/>
            <w:hideMark/>
          </w:tcPr>
          <w:p w:rsidR="00BC696E" w:rsidRPr="00BC696E" w:rsidRDefault="00BC696E" w:rsidP="00AE7168">
            <w:pPr>
              <w:jc w:val="center"/>
              <w:rPr>
                <w:rFonts w:cstheme="minorHAnsi"/>
                <w:sz w:val="18"/>
              </w:rPr>
            </w:pPr>
          </w:p>
        </w:tc>
      </w:tr>
      <w:tr w:rsidR="00BC696E" w:rsidRPr="00BC696E" w:rsidTr="00AE7168">
        <w:trPr>
          <w:trHeight w:val="260"/>
        </w:trPr>
        <w:tc>
          <w:tcPr>
            <w:tcW w:w="4337" w:type="dxa"/>
            <w:gridSpan w:val="2"/>
            <w:shd w:val="clear" w:color="auto" w:fill="F7CAAC" w:themeFill="accent2" w:themeFillTint="66"/>
            <w:noWrap/>
            <w:hideMark/>
          </w:tcPr>
          <w:p w:rsidR="00BC696E" w:rsidRPr="00BC696E" w:rsidRDefault="00BC696E" w:rsidP="00BC696E">
            <w:pPr>
              <w:jc w:val="center"/>
              <w:rPr>
                <w:rFonts w:cstheme="minorHAnsi"/>
                <w:b/>
                <w:bCs/>
                <w:sz w:val="18"/>
              </w:rPr>
            </w:pPr>
            <w:r w:rsidRPr="00BC696E">
              <w:rPr>
                <w:rFonts w:cstheme="minorHAnsi"/>
                <w:b/>
                <w:bCs/>
                <w:sz w:val="18"/>
              </w:rPr>
              <w:t>OPERATIONAL COST</w:t>
            </w:r>
          </w:p>
        </w:tc>
        <w:tc>
          <w:tcPr>
            <w:tcW w:w="1697" w:type="dxa"/>
            <w:shd w:val="clear" w:color="auto" w:fill="F7CAAC" w:themeFill="accent2" w:themeFillTint="66"/>
            <w:noWrap/>
            <w:hideMark/>
          </w:tcPr>
          <w:p w:rsidR="00BC696E" w:rsidRPr="00BC696E" w:rsidRDefault="00BC696E" w:rsidP="00AE7168">
            <w:pPr>
              <w:jc w:val="center"/>
              <w:rPr>
                <w:rFonts w:cstheme="minorHAnsi"/>
                <w:b/>
                <w:bCs/>
                <w:sz w:val="18"/>
              </w:rPr>
            </w:pPr>
            <w:r w:rsidRPr="00BC696E">
              <w:rPr>
                <w:rFonts w:cstheme="minorHAnsi"/>
                <w:b/>
                <w:bCs/>
                <w:sz w:val="18"/>
              </w:rPr>
              <w:t>4 454 440,55 €</w:t>
            </w:r>
          </w:p>
        </w:tc>
        <w:tc>
          <w:tcPr>
            <w:tcW w:w="1421" w:type="dxa"/>
            <w:shd w:val="clear" w:color="auto" w:fill="F7CAAC" w:themeFill="accent2" w:themeFillTint="66"/>
            <w:noWrap/>
            <w:hideMark/>
          </w:tcPr>
          <w:p w:rsidR="00BC696E" w:rsidRPr="00BC696E" w:rsidRDefault="00BC696E" w:rsidP="00AE7168">
            <w:pPr>
              <w:jc w:val="center"/>
              <w:rPr>
                <w:rFonts w:cstheme="minorHAnsi"/>
                <w:b/>
                <w:bCs/>
                <w:sz w:val="18"/>
              </w:rPr>
            </w:pPr>
            <w:r w:rsidRPr="00BC696E">
              <w:rPr>
                <w:rFonts w:cstheme="minorHAnsi"/>
                <w:b/>
                <w:bCs/>
                <w:sz w:val="18"/>
              </w:rPr>
              <w:t>5 210 165,36 €</w:t>
            </w:r>
          </w:p>
        </w:tc>
        <w:tc>
          <w:tcPr>
            <w:tcW w:w="1519" w:type="dxa"/>
            <w:shd w:val="clear" w:color="auto" w:fill="F7CAAC" w:themeFill="accent2" w:themeFillTint="66"/>
            <w:noWrap/>
            <w:hideMark/>
          </w:tcPr>
          <w:p w:rsidR="00BC696E" w:rsidRPr="00BC696E" w:rsidRDefault="00BC696E" w:rsidP="00AE7168">
            <w:pPr>
              <w:jc w:val="center"/>
              <w:rPr>
                <w:rFonts w:cstheme="minorHAnsi"/>
                <w:b/>
                <w:bCs/>
                <w:sz w:val="18"/>
              </w:rPr>
            </w:pPr>
            <w:r w:rsidRPr="00BC696E">
              <w:rPr>
                <w:rFonts w:cstheme="minorHAnsi"/>
                <w:b/>
                <w:bCs/>
                <w:sz w:val="18"/>
              </w:rPr>
              <w:t>5 961 090,16 €</w:t>
            </w:r>
          </w:p>
        </w:tc>
      </w:tr>
      <w:tr w:rsidR="00BC696E" w:rsidRPr="00BC696E" w:rsidTr="00AE7168">
        <w:trPr>
          <w:trHeight w:val="260"/>
        </w:trPr>
        <w:tc>
          <w:tcPr>
            <w:tcW w:w="2830" w:type="dxa"/>
            <w:noWrap/>
            <w:hideMark/>
          </w:tcPr>
          <w:p w:rsidR="00BC696E" w:rsidRPr="00BC696E" w:rsidRDefault="00BC696E" w:rsidP="00BC696E">
            <w:pPr>
              <w:jc w:val="right"/>
              <w:rPr>
                <w:rFonts w:cstheme="minorHAnsi"/>
                <w:i/>
                <w:iCs/>
                <w:sz w:val="18"/>
              </w:rPr>
            </w:pPr>
            <w:r w:rsidRPr="00BC696E">
              <w:rPr>
                <w:rFonts w:cstheme="minorHAnsi"/>
                <w:i/>
                <w:iCs/>
                <w:sz w:val="18"/>
              </w:rPr>
              <w:t>A2W POD  (</w:t>
            </w:r>
            <w:proofErr w:type="spellStart"/>
            <w:r w:rsidRPr="00BC696E">
              <w:rPr>
                <w:rFonts w:cstheme="minorHAnsi"/>
                <w:i/>
                <w:iCs/>
                <w:sz w:val="18"/>
              </w:rPr>
              <w:t>purchase</w:t>
            </w:r>
            <w:proofErr w:type="spellEnd"/>
            <w:r w:rsidRPr="00BC696E">
              <w:rPr>
                <w:rFonts w:cstheme="minorHAnsi"/>
                <w:i/>
                <w:iCs/>
                <w:sz w:val="18"/>
              </w:rPr>
              <w:t>)</w:t>
            </w:r>
          </w:p>
        </w:tc>
        <w:tc>
          <w:tcPr>
            <w:tcW w:w="1507" w:type="dxa"/>
            <w:noWrap/>
            <w:hideMark/>
          </w:tcPr>
          <w:p w:rsidR="00BC696E" w:rsidRPr="00BC696E" w:rsidRDefault="00BC696E" w:rsidP="00BC696E">
            <w:pPr>
              <w:rPr>
                <w:rFonts w:cstheme="minorHAnsi"/>
                <w:b/>
                <w:bCs/>
                <w:sz w:val="18"/>
              </w:rPr>
            </w:pPr>
            <w:r w:rsidRPr="00BC696E">
              <w:rPr>
                <w:rFonts w:cstheme="minorHAnsi"/>
                <w:b/>
                <w:bCs/>
                <w:sz w:val="18"/>
              </w:rPr>
              <w:t> </w:t>
            </w:r>
          </w:p>
        </w:tc>
        <w:tc>
          <w:tcPr>
            <w:tcW w:w="1697" w:type="dxa"/>
            <w:noWrap/>
            <w:hideMark/>
          </w:tcPr>
          <w:p w:rsidR="00BC696E" w:rsidRPr="00BC696E" w:rsidRDefault="00BC696E" w:rsidP="00AE7168">
            <w:pPr>
              <w:jc w:val="center"/>
              <w:rPr>
                <w:rFonts w:cstheme="minorHAnsi"/>
                <w:sz w:val="18"/>
              </w:rPr>
            </w:pPr>
            <w:r w:rsidRPr="00BC696E">
              <w:rPr>
                <w:rFonts w:cstheme="minorHAnsi"/>
                <w:sz w:val="18"/>
              </w:rPr>
              <w:t>4 214 440,55 €</w:t>
            </w:r>
          </w:p>
        </w:tc>
        <w:tc>
          <w:tcPr>
            <w:tcW w:w="1421" w:type="dxa"/>
            <w:noWrap/>
            <w:hideMark/>
          </w:tcPr>
          <w:p w:rsidR="00BC696E" w:rsidRPr="00BC696E" w:rsidRDefault="00BC696E" w:rsidP="00AE7168">
            <w:pPr>
              <w:jc w:val="center"/>
              <w:rPr>
                <w:rFonts w:cstheme="minorHAnsi"/>
                <w:sz w:val="18"/>
              </w:rPr>
            </w:pPr>
            <w:r w:rsidRPr="00BC696E">
              <w:rPr>
                <w:rFonts w:cstheme="minorHAnsi"/>
                <w:sz w:val="18"/>
              </w:rPr>
              <w:t>4 958 165,36 €</w:t>
            </w:r>
          </w:p>
        </w:tc>
        <w:tc>
          <w:tcPr>
            <w:tcW w:w="1519" w:type="dxa"/>
            <w:noWrap/>
            <w:hideMark/>
          </w:tcPr>
          <w:p w:rsidR="00BC696E" w:rsidRPr="00BC696E" w:rsidRDefault="00BC696E" w:rsidP="00AE7168">
            <w:pPr>
              <w:jc w:val="center"/>
              <w:rPr>
                <w:rFonts w:cstheme="minorHAnsi"/>
                <w:sz w:val="18"/>
              </w:rPr>
            </w:pPr>
            <w:r w:rsidRPr="00BC696E">
              <w:rPr>
                <w:rFonts w:cstheme="minorHAnsi"/>
                <w:sz w:val="18"/>
              </w:rPr>
              <w:t>5 701 890,16 €</w:t>
            </w:r>
          </w:p>
        </w:tc>
      </w:tr>
      <w:tr w:rsidR="00BC696E" w:rsidRPr="00BC696E" w:rsidTr="00AE7168">
        <w:trPr>
          <w:trHeight w:val="260"/>
        </w:trPr>
        <w:tc>
          <w:tcPr>
            <w:tcW w:w="2830" w:type="dxa"/>
            <w:noWrap/>
            <w:hideMark/>
          </w:tcPr>
          <w:p w:rsidR="00BC696E" w:rsidRPr="00BC696E" w:rsidRDefault="00BC696E" w:rsidP="00BC696E">
            <w:pPr>
              <w:jc w:val="right"/>
              <w:rPr>
                <w:rFonts w:cstheme="minorHAnsi"/>
                <w:i/>
                <w:iCs/>
                <w:sz w:val="18"/>
              </w:rPr>
            </w:pPr>
            <w:r w:rsidRPr="00BC696E">
              <w:rPr>
                <w:rFonts w:cstheme="minorHAnsi"/>
                <w:i/>
                <w:iCs/>
                <w:sz w:val="18"/>
              </w:rPr>
              <w:t>A2W POD SaaS (</w:t>
            </w:r>
            <w:proofErr w:type="spellStart"/>
            <w:r w:rsidRPr="00BC696E">
              <w:rPr>
                <w:rFonts w:cstheme="minorHAnsi"/>
                <w:i/>
                <w:iCs/>
                <w:sz w:val="18"/>
              </w:rPr>
              <w:t>monthly</w:t>
            </w:r>
            <w:proofErr w:type="spellEnd"/>
            <w:r w:rsidRPr="00BC696E">
              <w:rPr>
                <w:rFonts w:cstheme="minorHAnsi"/>
                <w:i/>
                <w:iCs/>
                <w:sz w:val="18"/>
              </w:rPr>
              <w:t>)</w:t>
            </w:r>
          </w:p>
        </w:tc>
        <w:tc>
          <w:tcPr>
            <w:tcW w:w="1507" w:type="dxa"/>
            <w:noWrap/>
            <w:hideMark/>
          </w:tcPr>
          <w:p w:rsidR="00BC696E" w:rsidRPr="00BC696E" w:rsidRDefault="00BC696E" w:rsidP="00BC696E">
            <w:pPr>
              <w:rPr>
                <w:rFonts w:cstheme="minorHAnsi"/>
                <w:b/>
                <w:bCs/>
                <w:sz w:val="18"/>
              </w:rPr>
            </w:pPr>
            <w:r w:rsidRPr="00BC696E">
              <w:rPr>
                <w:rFonts w:cstheme="minorHAnsi"/>
                <w:b/>
                <w:bCs/>
                <w:sz w:val="18"/>
              </w:rPr>
              <w:t xml:space="preserve">         20 000,00 € </w:t>
            </w:r>
          </w:p>
        </w:tc>
        <w:tc>
          <w:tcPr>
            <w:tcW w:w="1697" w:type="dxa"/>
            <w:noWrap/>
            <w:hideMark/>
          </w:tcPr>
          <w:p w:rsidR="00BC696E" w:rsidRPr="00BC696E" w:rsidRDefault="00BC696E" w:rsidP="00AE7168">
            <w:pPr>
              <w:jc w:val="center"/>
              <w:rPr>
                <w:rFonts w:cstheme="minorHAnsi"/>
                <w:sz w:val="18"/>
              </w:rPr>
            </w:pPr>
            <w:r w:rsidRPr="00BC696E">
              <w:rPr>
                <w:rFonts w:cstheme="minorHAnsi"/>
                <w:sz w:val="18"/>
              </w:rPr>
              <w:t>240 000,00 €</w:t>
            </w:r>
          </w:p>
        </w:tc>
        <w:tc>
          <w:tcPr>
            <w:tcW w:w="1421" w:type="dxa"/>
            <w:noWrap/>
            <w:hideMark/>
          </w:tcPr>
          <w:p w:rsidR="00BC696E" w:rsidRPr="00BC696E" w:rsidRDefault="00BC696E" w:rsidP="00AE7168">
            <w:pPr>
              <w:jc w:val="center"/>
              <w:rPr>
                <w:rFonts w:cstheme="minorHAnsi"/>
                <w:sz w:val="18"/>
              </w:rPr>
            </w:pPr>
            <w:r w:rsidRPr="00BC696E">
              <w:rPr>
                <w:rFonts w:cstheme="minorHAnsi"/>
                <w:sz w:val="18"/>
              </w:rPr>
              <w:t>252 000,00 €</w:t>
            </w:r>
          </w:p>
        </w:tc>
        <w:tc>
          <w:tcPr>
            <w:tcW w:w="1519" w:type="dxa"/>
            <w:noWrap/>
            <w:hideMark/>
          </w:tcPr>
          <w:p w:rsidR="00BC696E" w:rsidRPr="00BC696E" w:rsidRDefault="00BC696E" w:rsidP="00AE7168">
            <w:pPr>
              <w:jc w:val="center"/>
              <w:rPr>
                <w:rFonts w:cstheme="minorHAnsi"/>
                <w:sz w:val="18"/>
              </w:rPr>
            </w:pPr>
            <w:r w:rsidRPr="00BC696E">
              <w:rPr>
                <w:rFonts w:cstheme="minorHAnsi"/>
                <w:sz w:val="18"/>
              </w:rPr>
              <w:t>259 200,00 €</w:t>
            </w:r>
          </w:p>
        </w:tc>
      </w:tr>
      <w:tr w:rsidR="00BC696E" w:rsidRPr="00BC696E" w:rsidTr="00AE7168">
        <w:trPr>
          <w:trHeight w:val="120"/>
        </w:trPr>
        <w:tc>
          <w:tcPr>
            <w:tcW w:w="2830" w:type="dxa"/>
            <w:noWrap/>
            <w:hideMark/>
          </w:tcPr>
          <w:p w:rsidR="00BC696E" w:rsidRPr="00BC696E" w:rsidRDefault="00BC696E" w:rsidP="00BC696E">
            <w:pPr>
              <w:rPr>
                <w:rFonts w:cstheme="minorHAnsi"/>
                <w:b/>
                <w:bCs/>
                <w:sz w:val="18"/>
              </w:rPr>
            </w:pPr>
            <w:r w:rsidRPr="00BC696E">
              <w:rPr>
                <w:rFonts w:cstheme="minorHAnsi"/>
                <w:b/>
                <w:bCs/>
                <w:sz w:val="18"/>
              </w:rPr>
              <w:t> </w:t>
            </w:r>
          </w:p>
        </w:tc>
        <w:tc>
          <w:tcPr>
            <w:tcW w:w="1507" w:type="dxa"/>
            <w:noWrap/>
            <w:hideMark/>
          </w:tcPr>
          <w:p w:rsidR="00BC696E" w:rsidRPr="00BC696E" w:rsidRDefault="00BC696E" w:rsidP="00BC696E">
            <w:pPr>
              <w:rPr>
                <w:rFonts w:cstheme="minorHAnsi"/>
                <w:b/>
                <w:bCs/>
                <w:sz w:val="18"/>
              </w:rPr>
            </w:pPr>
            <w:r w:rsidRPr="00BC696E">
              <w:rPr>
                <w:rFonts w:cstheme="minorHAnsi"/>
                <w:b/>
                <w:bCs/>
                <w:sz w:val="18"/>
              </w:rPr>
              <w:t> </w:t>
            </w:r>
          </w:p>
        </w:tc>
        <w:tc>
          <w:tcPr>
            <w:tcW w:w="1697" w:type="dxa"/>
            <w:noWrap/>
            <w:hideMark/>
          </w:tcPr>
          <w:p w:rsidR="00BC696E" w:rsidRPr="00BC696E" w:rsidRDefault="00BC696E" w:rsidP="00AE7168">
            <w:pPr>
              <w:jc w:val="center"/>
              <w:rPr>
                <w:rFonts w:cstheme="minorHAnsi"/>
                <w:sz w:val="18"/>
              </w:rPr>
            </w:pPr>
          </w:p>
        </w:tc>
        <w:tc>
          <w:tcPr>
            <w:tcW w:w="1421" w:type="dxa"/>
            <w:noWrap/>
            <w:hideMark/>
          </w:tcPr>
          <w:p w:rsidR="00BC696E" w:rsidRPr="00BC696E" w:rsidRDefault="00BC696E" w:rsidP="00AE7168">
            <w:pPr>
              <w:jc w:val="center"/>
              <w:rPr>
                <w:rFonts w:cstheme="minorHAnsi"/>
                <w:sz w:val="18"/>
              </w:rPr>
            </w:pPr>
          </w:p>
        </w:tc>
        <w:tc>
          <w:tcPr>
            <w:tcW w:w="1519" w:type="dxa"/>
            <w:noWrap/>
            <w:hideMark/>
          </w:tcPr>
          <w:p w:rsidR="00BC696E" w:rsidRPr="00BC696E" w:rsidRDefault="00BC696E" w:rsidP="00AE7168">
            <w:pPr>
              <w:jc w:val="center"/>
              <w:rPr>
                <w:rFonts w:cstheme="minorHAnsi"/>
                <w:sz w:val="18"/>
              </w:rPr>
            </w:pPr>
          </w:p>
        </w:tc>
      </w:tr>
      <w:tr w:rsidR="00BC696E" w:rsidRPr="00BC696E" w:rsidTr="00AE7168">
        <w:trPr>
          <w:trHeight w:val="260"/>
        </w:trPr>
        <w:tc>
          <w:tcPr>
            <w:tcW w:w="4337" w:type="dxa"/>
            <w:gridSpan w:val="2"/>
            <w:shd w:val="clear" w:color="auto" w:fill="A8D08D" w:themeFill="accent6" w:themeFillTint="99"/>
            <w:noWrap/>
            <w:hideMark/>
          </w:tcPr>
          <w:p w:rsidR="00BC696E" w:rsidRPr="00BC696E" w:rsidRDefault="00BC696E" w:rsidP="00BC696E">
            <w:pPr>
              <w:jc w:val="center"/>
              <w:rPr>
                <w:rFonts w:cstheme="minorHAnsi"/>
                <w:b/>
                <w:bCs/>
                <w:sz w:val="18"/>
              </w:rPr>
            </w:pPr>
            <w:r w:rsidRPr="00BC696E">
              <w:rPr>
                <w:rFonts w:cstheme="minorHAnsi"/>
                <w:b/>
                <w:bCs/>
                <w:sz w:val="18"/>
              </w:rPr>
              <w:t>SALES</w:t>
            </w:r>
          </w:p>
        </w:tc>
        <w:tc>
          <w:tcPr>
            <w:tcW w:w="1697" w:type="dxa"/>
            <w:shd w:val="clear" w:color="auto" w:fill="A8D08D" w:themeFill="accent6" w:themeFillTint="99"/>
            <w:noWrap/>
            <w:hideMark/>
          </w:tcPr>
          <w:p w:rsidR="00BC696E" w:rsidRPr="00BC696E" w:rsidRDefault="00BC696E" w:rsidP="00AE7168">
            <w:pPr>
              <w:jc w:val="center"/>
              <w:rPr>
                <w:rFonts w:cstheme="minorHAnsi"/>
                <w:b/>
                <w:bCs/>
                <w:sz w:val="18"/>
              </w:rPr>
            </w:pPr>
            <w:r w:rsidRPr="00BC696E">
              <w:rPr>
                <w:rFonts w:cstheme="minorHAnsi"/>
                <w:b/>
                <w:bCs/>
                <w:sz w:val="18"/>
              </w:rPr>
              <w:t>4 678 406,69 €</w:t>
            </w:r>
          </w:p>
        </w:tc>
        <w:tc>
          <w:tcPr>
            <w:tcW w:w="1421" w:type="dxa"/>
            <w:shd w:val="clear" w:color="auto" w:fill="A8D08D" w:themeFill="accent6" w:themeFillTint="99"/>
            <w:noWrap/>
            <w:hideMark/>
          </w:tcPr>
          <w:p w:rsidR="00BC696E" w:rsidRPr="00BC696E" w:rsidRDefault="00BC696E" w:rsidP="00AE7168">
            <w:pPr>
              <w:jc w:val="center"/>
              <w:rPr>
                <w:rFonts w:cstheme="minorHAnsi"/>
                <w:b/>
                <w:bCs/>
                <w:sz w:val="18"/>
              </w:rPr>
            </w:pPr>
            <w:r w:rsidRPr="00BC696E">
              <w:rPr>
                <w:rFonts w:cstheme="minorHAnsi"/>
                <w:b/>
                <w:bCs/>
                <w:sz w:val="18"/>
              </w:rPr>
              <w:t>5 589 297,20 €</w:t>
            </w:r>
          </w:p>
        </w:tc>
        <w:tc>
          <w:tcPr>
            <w:tcW w:w="1519" w:type="dxa"/>
            <w:shd w:val="clear" w:color="auto" w:fill="A8D08D" w:themeFill="accent6" w:themeFillTint="99"/>
            <w:noWrap/>
            <w:hideMark/>
          </w:tcPr>
          <w:p w:rsidR="00BC696E" w:rsidRPr="00BC696E" w:rsidRDefault="00BC696E" w:rsidP="00AE7168">
            <w:pPr>
              <w:jc w:val="center"/>
              <w:rPr>
                <w:rFonts w:cstheme="minorHAnsi"/>
                <w:b/>
                <w:bCs/>
                <w:sz w:val="18"/>
              </w:rPr>
            </w:pPr>
            <w:r w:rsidRPr="00BC696E">
              <w:rPr>
                <w:rFonts w:cstheme="minorHAnsi"/>
                <w:b/>
                <w:bCs/>
                <w:sz w:val="18"/>
              </w:rPr>
              <w:t>6 463 914,21 €</w:t>
            </w:r>
          </w:p>
        </w:tc>
      </w:tr>
      <w:tr w:rsidR="00BC696E" w:rsidRPr="00BC696E" w:rsidTr="00AE7168">
        <w:trPr>
          <w:trHeight w:val="260"/>
        </w:trPr>
        <w:tc>
          <w:tcPr>
            <w:tcW w:w="2830" w:type="dxa"/>
            <w:noWrap/>
            <w:hideMark/>
          </w:tcPr>
          <w:p w:rsidR="00BC696E" w:rsidRPr="00BC696E" w:rsidRDefault="00BC696E" w:rsidP="00BC696E">
            <w:pPr>
              <w:jc w:val="right"/>
              <w:rPr>
                <w:rFonts w:cstheme="minorHAnsi"/>
                <w:i/>
                <w:iCs/>
                <w:sz w:val="18"/>
              </w:rPr>
            </w:pPr>
            <w:r w:rsidRPr="00BC696E">
              <w:rPr>
                <w:rFonts w:cstheme="minorHAnsi"/>
                <w:i/>
                <w:iCs/>
                <w:sz w:val="18"/>
              </w:rPr>
              <w:t>A2W POD</w:t>
            </w:r>
          </w:p>
        </w:tc>
        <w:tc>
          <w:tcPr>
            <w:tcW w:w="1507" w:type="dxa"/>
            <w:noWrap/>
            <w:hideMark/>
          </w:tcPr>
          <w:p w:rsidR="00BC696E" w:rsidRPr="00BC696E" w:rsidRDefault="00BC696E" w:rsidP="00BC696E">
            <w:pPr>
              <w:rPr>
                <w:rFonts w:cstheme="minorHAnsi"/>
                <w:sz w:val="18"/>
              </w:rPr>
            </w:pPr>
            <w:r w:rsidRPr="00BC696E">
              <w:rPr>
                <w:rFonts w:cstheme="minorHAnsi"/>
                <w:sz w:val="18"/>
              </w:rPr>
              <w:t xml:space="preserve">15 092 271,08 € </w:t>
            </w:r>
          </w:p>
        </w:tc>
        <w:tc>
          <w:tcPr>
            <w:tcW w:w="1697" w:type="dxa"/>
            <w:noWrap/>
            <w:hideMark/>
          </w:tcPr>
          <w:p w:rsidR="00BC696E" w:rsidRPr="00BC696E" w:rsidRDefault="00BC696E" w:rsidP="00AE7168">
            <w:pPr>
              <w:jc w:val="center"/>
              <w:rPr>
                <w:rFonts w:cstheme="minorHAnsi"/>
                <w:sz w:val="18"/>
              </w:rPr>
            </w:pPr>
            <w:r w:rsidRPr="00BC696E">
              <w:rPr>
                <w:rFonts w:cstheme="minorHAnsi"/>
                <w:sz w:val="18"/>
              </w:rPr>
              <w:t>4 214 440,55 €</w:t>
            </w:r>
          </w:p>
        </w:tc>
        <w:tc>
          <w:tcPr>
            <w:tcW w:w="1421" w:type="dxa"/>
            <w:noWrap/>
            <w:hideMark/>
          </w:tcPr>
          <w:p w:rsidR="00BC696E" w:rsidRPr="00BC696E" w:rsidRDefault="00BC696E" w:rsidP="00AE7168">
            <w:pPr>
              <w:jc w:val="center"/>
              <w:rPr>
                <w:rFonts w:cstheme="minorHAnsi"/>
                <w:sz w:val="18"/>
              </w:rPr>
            </w:pPr>
            <w:r w:rsidRPr="00BC696E">
              <w:rPr>
                <w:rFonts w:cstheme="minorHAnsi"/>
                <w:sz w:val="18"/>
              </w:rPr>
              <w:t>5 032 537,84 €</w:t>
            </w:r>
          </w:p>
        </w:tc>
        <w:tc>
          <w:tcPr>
            <w:tcW w:w="1519" w:type="dxa"/>
            <w:noWrap/>
            <w:hideMark/>
          </w:tcPr>
          <w:p w:rsidR="00BC696E" w:rsidRPr="00BC696E" w:rsidRDefault="00BC696E" w:rsidP="00AE7168">
            <w:pPr>
              <w:jc w:val="center"/>
              <w:rPr>
                <w:rFonts w:cstheme="minorHAnsi"/>
                <w:sz w:val="18"/>
              </w:rPr>
            </w:pPr>
            <w:r w:rsidRPr="00BC696E">
              <w:rPr>
                <w:rFonts w:cstheme="minorHAnsi"/>
                <w:sz w:val="18"/>
              </w:rPr>
              <w:t>5 845 292,70 €</w:t>
            </w:r>
          </w:p>
        </w:tc>
      </w:tr>
      <w:tr w:rsidR="00BC696E" w:rsidRPr="00BC696E" w:rsidTr="00AE7168">
        <w:trPr>
          <w:trHeight w:val="260"/>
        </w:trPr>
        <w:tc>
          <w:tcPr>
            <w:tcW w:w="2830" w:type="dxa"/>
            <w:noWrap/>
            <w:hideMark/>
          </w:tcPr>
          <w:p w:rsidR="00BC696E" w:rsidRPr="00BC696E" w:rsidRDefault="00BC696E" w:rsidP="00BC696E">
            <w:pPr>
              <w:jc w:val="right"/>
              <w:rPr>
                <w:rFonts w:cstheme="minorHAnsi"/>
                <w:i/>
                <w:iCs/>
                <w:sz w:val="18"/>
                <w:lang w:val="en-US"/>
              </w:rPr>
            </w:pPr>
            <w:r w:rsidRPr="00BC696E">
              <w:rPr>
                <w:rFonts w:cstheme="minorHAnsi"/>
                <w:i/>
                <w:iCs/>
                <w:sz w:val="18"/>
                <w:lang w:val="en-US"/>
              </w:rPr>
              <w:t>A2W POD SaaS (Monthly fee)</w:t>
            </w:r>
          </w:p>
        </w:tc>
        <w:tc>
          <w:tcPr>
            <w:tcW w:w="1507" w:type="dxa"/>
            <w:noWrap/>
            <w:hideMark/>
          </w:tcPr>
          <w:p w:rsidR="00BC696E" w:rsidRPr="00BC696E" w:rsidRDefault="00BC696E" w:rsidP="00BC696E">
            <w:pPr>
              <w:rPr>
                <w:rFonts w:cstheme="minorHAnsi"/>
                <w:sz w:val="18"/>
              </w:rPr>
            </w:pPr>
            <w:r w:rsidRPr="00BC696E">
              <w:rPr>
                <w:rFonts w:cstheme="minorHAnsi"/>
                <w:sz w:val="18"/>
              </w:rPr>
              <w:t xml:space="preserve">1 639 347,01 € </w:t>
            </w:r>
          </w:p>
        </w:tc>
        <w:tc>
          <w:tcPr>
            <w:tcW w:w="1697" w:type="dxa"/>
            <w:noWrap/>
            <w:hideMark/>
          </w:tcPr>
          <w:p w:rsidR="00BC696E" w:rsidRPr="00BC696E" w:rsidRDefault="00BC696E" w:rsidP="00AE7168">
            <w:pPr>
              <w:jc w:val="center"/>
              <w:rPr>
                <w:rFonts w:cstheme="minorHAnsi"/>
                <w:sz w:val="18"/>
              </w:rPr>
            </w:pPr>
            <w:r w:rsidRPr="00BC696E">
              <w:rPr>
                <w:rFonts w:cstheme="minorHAnsi"/>
                <w:sz w:val="18"/>
              </w:rPr>
              <w:t>463 966,14 €</w:t>
            </w:r>
          </w:p>
        </w:tc>
        <w:tc>
          <w:tcPr>
            <w:tcW w:w="1421" w:type="dxa"/>
            <w:noWrap/>
            <w:hideMark/>
          </w:tcPr>
          <w:p w:rsidR="00BC696E" w:rsidRPr="00BC696E" w:rsidRDefault="00BC696E" w:rsidP="00AE7168">
            <w:pPr>
              <w:jc w:val="center"/>
              <w:rPr>
                <w:rFonts w:cstheme="minorHAnsi"/>
                <w:sz w:val="18"/>
              </w:rPr>
            </w:pPr>
            <w:r w:rsidRPr="00BC696E">
              <w:rPr>
                <w:rFonts w:cstheme="minorHAnsi"/>
                <w:sz w:val="18"/>
              </w:rPr>
              <w:t>556 759,36 €</w:t>
            </w:r>
          </w:p>
        </w:tc>
        <w:tc>
          <w:tcPr>
            <w:tcW w:w="1519" w:type="dxa"/>
            <w:noWrap/>
            <w:hideMark/>
          </w:tcPr>
          <w:p w:rsidR="00BC696E" w:rsidRPr="00BC696E" w:rsidRDefault="00BC696E" w:rsidP="00AE7168">
            <w:pPr>
              <w:jc w:val="center"/>
              <w:rPr>
                <w:rFonts w:cstheme="minorHAnsi"/>
                <w:sz w:val="18"/>
              </w:rPr>
            </w:pPr>
            <w:r w:rsidRPr="00BC696E">
              <w:rPr>
                <w:rFonts w:cstheme="minorHAnsi"/>
                <w:sz w:val="18"/>
              </w:rPr>
              <w:t>618 621,51 €</w:t>
            </w:r>
          </w:p>
        </w:tc>
      </w:tr>
      <w:tr w:rsidR="00BC696E" w:rsidRPr="00BC696E" w:rsidTr="00AE7168">
        <w:trPr>
          <w:trHeight w:val="120"/>
        </w:trPr>
        <w:tc>
          <w:tcPr>
            <w:tcW w:w="2830" w:type="dxa"/>
            <w:noWrap/>
            <w:hideMark/>
          </w:tcPr>
          <w:p w:rsidR="00BC696E" w:rsidRPr="00BC696E" w:rsidRDefault="00BC696E" w:rsidP="00BC696E">
            <w:pPr>
              <w:rPr>
                <w:rFonts w:cstheme="minorHAnsi"/>
                <w:b/>
                <w:bCs/>
                <w:sz w:val="18"/>
              </w:rPr>
            </w:pPr>
            <w:r w:rsidRPr="00BC696E">
              <w:rPr>
                <w:rFonts w:cstheme="minorHAnsi"/>
                <w:b/>
                <w:bCs/>
                <w:sz w:val="18"/>
              </w:rPr>
              <w:t> </w:t>
            </w:r>
          </w:p>
        </w:tc>
        <w:tc>
          <w:tcPr>
            <w:tcW w:w="1507" w:type="dxa"/>
            <w:noWrap/>
            <w:hideMark/>
          </w:tcPr>
          <w:p w:rsidR="00BC696E" w:rsidRPr="00BC696E" w:rsidRDefault="00BC696E" w:rsidP="00BC696E">
            <w:pPr>
              <w:rPr>
                <w:rFonts w:cstheme="minorHAnsi"/>
                <w:b/>
                <w:bCs/>
                <w:sz w:val="18"/>
              </w:rPr>
            </w:pPr>
            <w:r w:rsidRPr="00BC696E">
              <w:rPr>
                <w:rFonts w:cstheme="minorHAnsi"/>
                <w:b/>
                <w:bCs/>
                <w:sz w:val="18"/>
              </w:rPr>
              <w:t> </w:t>
            </w:r>
          </w:p>
        </w:tc>
        <w:tc>
          <w:tcPr>
            <w:tcW w:w="1697" w:type="dxa"/>
            <w:noWrap/>
            <w:hideMark/>
          </w:tcPr>
          <w:p w:rsidR="00BC696E" w:rsidRPr="00BC696E" w:rsidRDefault="00BC696E" w:rsidP="00AE7168">
            <w:pPr>
              <w:jc w:val="center"/>
              <w:rPr>
                <w:rFonts w:cstheme="minorHAnsi"/>
                <w:sz w:val="18"/>
              </w:rPr>
            </w:pPr>
          </w:p>
        </w:tc>
        <w:tc>
          <w:tcPr>
            <w:tcW w:w="1421" w:type="dxa"/>
            <w:noWrap/>
            <w:hideMark/>
          </w:tcPr>
          <w:p w:rsidR="00BC696E" w:rsidRPr="00BC696E" w:rsidRDefault="00BC696E" w:rsidP="00AE7168">
            <w:pPr>
              <w:jc w:val="center"/>
              <w:rPr>
                <w:rFonts w:cstheme="minorHAnsi"/>
                <w:sz w:val="18"/>
              </w:rPr>
            </w:pPr>
          </w:p>
        </w:tc>
        <w:tc>
          <w:tcPr>
            <w:tcW w:w="1519" w:type="dxa"/>
            <w:noWrap/>
            <w:hideMark/>
          </w:tcPr>
          <w:p w:rsidR="00BC696E" w:rsidRPr="00BC696E" w:rsidRDefault="00BC696E" w:rsidP="00AE7168">
            <w:pPr>
              <w:jc w:val="center"/>
              <w:rPr>
                <w:rFonts w:cstheme="minorHAnsi"/>
                <w:sz w:val="18"/>
              </w:rPr>
            </w:pPr>
          </w:p>
        </w:tc>
      </w:tr>
      <w:tr w:rsidR="00AE7168" w:rsidRPr="00BC696E" w:rsidTr="00AE7168">
        <w:trPr>
          <w:trHeight w:val="270"/>
        </w:trPr>
        <w:tc>
          <w:tcPr>
            <w:tcW w:w="4337" w:type="dxa"/>
            <w:gridSpan w:val="2"/>
            <w:shd w:val="clear" w:color="auto" w:fill="D0CECE" w:themeFill="background2" w:themeFillShade="E6"/>
            <w:noWrap/>
            <w:hideMark/>
          </w:tcPr>
          <w:p w:rsidR="00AE7168" w:rsidRPr="00BC696E" w:rsidRDefault="00AE7168" w:rsidP="00AE7168">
            <w:pPr>
              <w:jc w:val="center"/>
              <w:rPr>
                <w:rFonts w:cstheme="minorHAnsi"/>
                <w:b/>
                <w:bCs/>
                <w:sz w:val="18"/>
              </w:rPr>
            </w:pPr>
            <w:r w:rsidRPr="00BC696E">
              <w:rPr>
                <w:rFonts w:cstheme="minorHAnsi"/>
                <w:b/>
                <w:bCs/>
                <w:sz w:val="18"/>
              </w:rPr>
              <w:t>REVENUE</w:t>
            </w:r>
          </w:p>
        </w:tc>
        <w:tc>
          <w:tcPr>
            <w:tcW w:w="1697" w:type="dxa"/>
            <w:shd w:val="clear" w:color="auto" w:fill="D0CECE" w:themeFill="background2" w:themeFillShade="E6"/>
            <w:noWrap/>
            <w:hideMark/>
          </w:tcPr>
          <w:p w:rsidR="00AE7168" w:rsidRPr="00BC696E" w:rsidRDefault="00AE7168" w:rsidP="00AE7168">
            <w:pPr>
              <w:jc w:val="center"/>
              <w:rPr>
                <w:rFonts w:cstheme="minorHAnsi"/>
                <w:b/>
                <w:bCs/>
                <w:sz w:val="18"/>
              </w:rPr>
            </w:pPr>
            <w:r w:rsidRPr="00BC696E">
              <w:rPr>
                <w:rFonts w:cstheme="minorHAnsi"/>
                <w:b/>
                <w:bCs/>
                <w:sz w:val="18"/>
              </w:rPr>
              <w:t>23 966,14 €</w:t>
            </w:r>
          </w:p>
        </w:tc>
        <w:tc>
          <w:tcPr>
            <w:tcW w:w="1421" w:type="dxa"/>
            <w:shd w:val="clear" w:color="auto" w:fill="D0CECE" w:themeFill="background2" w:themeFillShade="E6"/>
            <w:noWrap/>
            <w:hideMark/>
          </w:tcPr>
          <w:p w:rsidR="00AE7168" w:rsidRPr="00BC696E" w:rsidRDefault="00AE7168" w:rsidP="00AE7168">
            <w:pPr>
              <w:jc w:val="center"/>
              <w:rPr>
                <w:rFonts w:cstheme="minorHAnsi"/>
                <w:b/>
                <w:bCs/>
                <w:sz w:val="18"/>
              </w:rPr>
            </w:pPr>
            <w:r w:rsidRPr="00BC696E">
              <w:rPr>
                <w:rFonts w:cstheme="minorHAnsi"/>
                <w:b/>
                <w:bCs/>
                <w:sz w:val="18"/>
              </w:rPr>
              <w:t>319 131,84 €</w:t>
            </w:r>
          </w:p>
        </w:tc>
        <w:tc>
          <w:tcPr>
            <w:tcW w:w="1519" w:type="dxa"/>
            <w:shd w:val="clear" w:color="auto" w:fill="D0CECE" w:themeFill="background2" w:themeFillShade="E6"/>
            <w:noWrap/>
            <w:hideMark/>
          </w:tcPr>
          <w:p w:rsidR="00AE7168" w:rsidRPr="00BC696E" w:rsidRDefault="00AE7168" w:rsidP="00AE7168">
            <w:pPr>
              <w:jc w:val="center"/>
              <w:rPr>
                <w:rFonts w:cstheme="minorHAnsi"/>
                <w:b/>
                <w:bCs/>
                <w:sz w:val="18"/>
              </w:rPr>
            </w:pPr>
            <w:r w:rsidRPr="00BC696E">
              <w:rPr>
                <w:rFonts w:cstheme="minorHAnsi"/>
                <w:b/>
                <w:bCs/>
                <w:sz w:val="18"/>
              </w:rPr>
              <w:t>442 824,05 €</w:t>
            </w:r>
          </w:p>
        </w:tc>
      </w:tr>
    </w:tbl>
    <w:p w:rsidR="00677B13" w:rsidRDefault="00677B13">
      <w:bookmarkStart w:id="0" w:name="_GoBack"/>
      <w:bookmarkEnd w:id="0"/>
    </w:p>
    <w:p w:rsidR="00677B13" w:rsidRDefault="00677B13"/>
    <w:sectPr w:rsidR="00677B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317DE7"/>
    <w:multiLevelType w:val="hybridMultilevel"/>
    <w:tmpl w:val="9A82014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7CD5400F"/>
    <w:multiLevelType w:val="hybridMultilevel"/>
    <w:tmpl w:val="87461E7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01D"/>
    <w:rsid w:val="00466996"/>
    <w:rsid w:val="00677B13"/>
    <w:rsid w:val="006B101D"/>
    <w:rsid w:val="0073030F"/>
    <w:rsid w:val="008065B8"/>
    <w:rsid w:val="00AE7168"/>
    <w:rsid w:val="00BC696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3CF36"/>
  <w15:chartTrackingRefBased/>
  <w15:docId w15:val="{44286E41-758E-4F32-8EA0-220CDDD6A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next w:val="Normal"/>
    <w:link w:val="Cabealho1Carter"/>
    <w:uiPriority w:val="9"/>
    <w:qFormat/>
    <w:rsid w:val="00BC69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677B13"/>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PargrafodaLista">
    <w:name w:val="List Paragraph"/>
    <w:basedOn w:val="Normal"/>
    <w:uiPriority w:val="34"/>
    <w:qFormat/>
    <w:rsid w:val="00677B13"/>
    <w:pPr>
      <w:ind w:left="720"/>
      <w:contextualSpacing/>
    </w:pPr>
  </w:style>
  <w:style w:type="character" w:customStyle="1" w:styleId="Cabealho1Carter">
    <w:name w:val="Cabeçalho 1 Caráter"/>
    <w:basedOn w:val="Tipodeletrapredefinidodopargrafo"/>
    <w:link w:val="Cabealho1"/>
    <w:uiPriority w:val="9"/>
    <w:rsid w:val="00BC696E"/>
    <w:rPr>
      <w:rFonts w:asciiTheme="majorHAnsi" w:eastAsiaTheme="majorEastAsia" w:hAnsiTheme="majorHAnsi" w:cstheme="majorBidi"/>
      <w:color w:val="2E74B5" w:themeColor="accent1" w:themeShade="BF"/>
      <w:sz w:val="32"/>
      <w:szCs w:val="32"/>
    </w:rPr>
  </w:style>
  <w:style w:type="table" w:styleId="Tabelacomgrelha">
    <w:name w:val="Table Grid"/>
    <w:basedOn w:val="Tabelanormal"/>
    <w:uiPriority w:val="39"/>
    <w:rsid w:val="00BC69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0646920">
      <w:bodyDiv w:val="1"/>
      <w:marLeft w:val="0"/>
      <w:marRight w:val="0"/>
      <w:marTop w:val="0"/>
      <w:marBottom w:val="0"/>
      <w:divBdr>
        <w:top w:val="none" w:sz="0" w:space="0" w:color="auto"/>
        <w:left w:val="none" w:sz="0" w:space="0" w:color="auto"/>
        <w:bottom w:val="none" w:sz="0" w:space="0" w:color="auto"/>
        <w:right w:val="none" w:sz="0" w:space="0" w:color="auto"/>
      </w:divBdr>
    </w:div>
    <w:div w:id="1092048567">
      <w:bodyDiv w:val="1"/>
      <w:marLeft w:val="0"/>
      <w:marRight w:val="0"/>
      <w:marTop w:val="0"/>
      <w:marBottom w:val="0"/>
      <w:divBdr>
        <w:top w:val="none" w:sz="0" w:space="0" w:color="auto"/>
        <w:left w:val="none" w:sz="0" w:space="0" w:color="auto"/>
        <w:bottom w:val="none" w:sz="0" w:space="0" w:color="auto"/>
        <w:right w:val="none" w:sz="0" w:space="0" w:color="auto"/>
      </w:divBdr>
    </w:div>
    <w:div w:id="1639607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521</Words>
  <Characters>2817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Barros</dc:creator>
  <cp:keywords/>
  <dc:description/>
  <cp:lastModifiedBy>Hugo Barros</cp:lastModifiedBy>
  <cp:revision>2</cp:revision>
  <dcterms:created xsi:type="dcterms:W3CDTF">2020-04-27T00:01:00Z</dcterms:created>
  <dcterms:modified xsi:type="dcterms:W3CDTF">2020-04-27T00:43:00Z</dcterms:modified>
</cp:coreProperties>
</file>