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BF4F8" w14:textId="77777777" w:rsidR="003168B7" w:rsidRDefault="003168B7" w:rsidP="003168B7">
      <w:pPr>
        <w:jc w:val="right"/>
        <w:rPr>
          <w:rFonts w:cs="B Titr"/>
          <w:b/>
          <w:bCs/>
          <w:sz w:val="32"/>
          <w:szCs w:val="32"/>
          <w:rtl/>
        </w:rPr>
        <w:bidi w:val="1"/>
      </w:pPr>
    </w:p>
    <w:p w14:paraId="65BCC82F" w14:textId="2336620B" w:rsidR="00AF0820" w:rsidRPr="003168B7" w:rsidRDefault="003168B7" w:rsidP="003168B7">
      <w:pPr>
        <w:jc w:val="right"/>
        <w:rPr>
          <w:rFonts w:cs="B Titr"/>
          <w:b/>
          <w:bCs/>
          <w:sz w:val="72"/>
          <w:szCs w:val="72"/>
          <w:rtl/>
        </w:rPr>
        <w:bidi w:val="1"/>
      </w:pPr>
      <w:r>
        <w:rPr>
          <w:rFonts w:ascii="Tahoma" w:hAnsi="Tahoma" w:cs="Tahoma" w:eastAsia="Tahoma"/>
          <w:rtl w:val="1"/>
        </w:rPr>
        <w:t>چشم‌انداز اکوسیستم ساخت نو</w:t>
      </w:r>
    </w:p>
    <w:p w14:paraId="37F02C80" w14:textId="77777777" w:rsidR="003168B7" w:rsidRDefault="003168B7" w:rsidP="003168B7">
      <w:pPr>
        <w:jc w:val="right"/>
        <w:rPr>
          <w:rtl/>
        </w:rPr>
        <w:bidi w:val="1"/>
      </w:pPr>
    </w:p>
    <w:tbl>
      <w:tblPr>
        <w:tblStyle w:val="TableGrid"/>
        <w:bidiVisual w:val="1"/>
        <w:tblW w:w="0" w:type="auto"/>
        <w:tblLayout w:type="autofit"/>
        <w:tblLook w:val="04A0" w:firstRow="1" w:lastRow="0" w:firstColumn="1" w:lastColumn="0" w:noHBand="0" w:noVBand="1"/>
        <w:jc w:val="right"/>
      </w:tblPr>
      <w:tblGrid>
        <w:gridCol w:w="4508"/>
        <w:gridCol w:w="4508"/>
      </w:tblGrid>
      <w:tr w:rsidR="003168B7" w14:paraId="3BF4F55D" w14:textId="77777777" w:rsidTr="003168B7">
        <w:trPr>
          <w:tblHeader w:val="true"/>
          <w:cantSplit/>
        </w:trPr>
        <w:tc>
          <w:tcPr>
            <w:tcW w:w="4508" w:type="dxa"/>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شناسه سند</w:t>
            </w:r>
          </w:p>
        </w:tc>
        <w:tc>
          <w:tcPr>
            <w:tcW w:w="4508" w:type="dxa"/>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SN-VIS-001</w:t>
            </w:r>
          </w:p>
        </w:tc>
      </w:tr>
      <w:tr w:rsidR="003168B7" w14:paraId="4B7E4221" w14:textId="77777777" w:rsidTr="003168B7">
        <w:trPr>
          <w:cantSplit/>
        </w:trPr>
        <w:tc>
          <w:tcPr>
            <w:tcW w:w="4508" w:type="dxa"/>
            <w:vAlign w:val="center"/>
            <w:tcMar>
              <w:top w:w="90" w:type="dxa"/>
              <w:start w:w="90" w:type="dxa"/>
              <w:bottom w:w="90" w:type="dxa"/>
              <w:end w:w="90" w:type="dxa"/>
            </w:tcMar>
          </w:tcPr>
          <w:p>
            <w:pPr>
              <w:jc w:val="right"/>
              <w:bidi w:val="1"/>
            </w:pPr>
            <w:r>
              <w:rPr>
                <w:rFonts w:ascii="Tahoma" w:hAnsi="Tahoma" w:cs="Tahoma" w:eastAsia="Tahoma"/>
                <w:b w:val="0"/>
                <w:sz w:val="17"/>
                <w:rtl w:val="1"/>
              </w:rPr>
              <w:t>نسخه</w:t>
            </w:r>
          </w:p>
        </w:tc>
        <w:tc>
          <w:tcPr>
            <w:tcW w:w="4508" w:type="dxa"/>
            <w:vAlign w:val="center"/>
            <w:tcMar>
              <w:top w:w="90" w:type="dxa"/>
              <w:start w:w="90" w:type="dxa"/>
              <w:bottom w:w="90" w:type="dxa"/>
              <w:end w:w="90" w:type="dxa"/>
            </w:tcMar>
          </w:tcPr>
          <w:p>
            <w:pPr>
              <w:jc w:val="right"/>
              <w:bidi w:val="1"/>
            </w:pPr>
            <w:r>
              <w:rPr>
                <w:rFonts w:ascii="Tahoma" w:hAnsi="Tahoma" w:cs="Tahoma" w:eastAsia="Tahoma"/>
                <w:b w:val="0"/>
                <w:sz w:val="17"/>
                <w:rtl w:val="1"/>
              </w:rPr>
              <w:t>۱.۲</w:t>
            </w:r>
          </w:p>
        </w:tc>
      </w:tr>
      <w:tr w:rsidR="003168B7" w14:paraId="7A11F369" w14:textId="77777777" w:rsidTr="003168B7">
        <w:trPr>
          <w:cantSplit/>
        </w:trPr>
        <w:tc>
          <w:tcPr>
            <w:tcW w:w="4508" w:type="dxa"/>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وضعیت</w:t>
            </w:r>
          </w:p>
        </w:tc>
        <w:tc>
          <w:tcPr>
            <w:tcW w:w="4508" w:type="dxa"/>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پیشنهاد نهایی برای بازبینی و تصویب</w:t>
            </w:r>
          </w:p>
        </w:tc>
      </w:tr>
      <w:tr w:rsidR="003168B7" w14:paraId="08AFE0F5" w14:textId="77777777" w:rsidTr="003168B7">
        <w:trPr>
          <w:cantSplit/>
        </w:trPr>
        <w:tc>
          <w:tcPr>
            <w:tcW w:w="4508" w:type="dxa"/>
            <w:vAlign w:val="center"/>
            <w:tcMar>
              <w:top w:w="90" w:type="dxa"/>
              <w:start w:w="90" w:type="dxa"/>
              <w:bottom w:w="90" w:type="dxa"/>
              <w:end w:w="90" w:type="dxa"/>
            </w:tcMar>
          </w:tcPr>
          <w:p>
            <w:pPr>
              <w:jc w:val="right"/>
              <w:bidi w:val="1"/>
            </w:pPr>
            <w:r>
              <w:rPr>
                <w:rFonts w:ascii="Tahoma" w:hAnsi="Tahoma" w:cs="Tahoma" w:eastAsia="Tahoma"/>
                <w:b w:val="0"/>
                <w:sz w:val="17"/>
                <w:rtl w:val="1"/>
              </w:rPr>
              <w:t>سطح</w:t>
            </w:r>
          </w:p>
        </w:tc>
        <w:tc>
          <w:tcPr>
            <w:tcW w:w="4508" w:type="dxa"/>
            <w:vAlign w:val="center"/>
            <w:tcMar>
              <w:top w:w="90" w:type="dxa"/>
              <w:start w:w="90" w:type="dxa"/>
              <w:bottom w:w="90" w:type="dxa"/>
              <w:end w:w="90" w:type="dxa"/>
            </w:tcMar>
          </w:tcPr>
          <w:p>
            <w:pPr>
              <w:jc w:val="right"/>
              <w:bidi w:val="1"/>
            </w:pPr>
            <w:r>
              <w:rPr>
                <w:rFonts w:ascii="Tahoma" w:hAnsi="Tahoma" w:cs="Tahoma" w:eastAsia="Tahoma"/>
                <w:b w:val="0"/>
                <w:sz w:val="17"/>
                <w:rtl w:val="1"/>
              </w:rPr>
              <w:t>Vision / جهت‌گیری راهبردی کسب‌وکار</w:t>
            </w:r>
          </w:p>
        </w:tc>
      </w:tr>
      <w:tr w:rsidR="003168B7" w14:paraId="28293126" w14:textId="77777777" w:rsidTr="003168B7">
        <w:trPr>
          <w:cantSplit/>
        </w:trPr>
        <w:tc>
          <w:tcPr>
            <w:tcW w:w="4508" w:type="dxa"/>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مبنای تدوین</w:t>
            </w:r>
          </w:p>
        </w:tc>
        <w:tc>
          <w:tcPr>
            <w:tcW w:w="4508" w:type="dxa"/>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Business Model v3.0، Finance Model v2.0 و Operational Model v3.8</w:t>
            </w:r>
          </w:p>
        </w:tc>
      </w:tr>
      <w:tr w:rsidR="003168B7" w14:paraId="5922C7CD" w14:textId="77777777" w:rsidTr="003168B7">
        <w:trPr>
          <w:cantSplit/>
        </w:trPr>
        <w:tc>
          <w:tcPr>
            <w:tcW w:w="4508" w:type="dxa"/>
            <w:vAlign w:val="center"/>
            <w:tcMar>
              <w:top w:w="90" w:type="dxa"/>
              <w:start w:w="90" w:type="dxa"/>
              <w:bottom w:w="90" w:type="dxa"/>
              <w:end w:w="90" w:type="dxa"/>
            </w:tcMar>
          </w:tcPr>
          <w:p>
            <w:pPr>
              <w:jc w:val="right"/>
              <w:bidi w:val="1"/>
            </w:pPr>
            <w:r>
              <w:rPr>
                <w:rFonts w:ascii="Tahoma" w:hAnsi="Tahoma" w:cs="Tahoma" w:eastAsia="Tahoma"/>
                <w:b w:val="0"/>
                <w:sz w:val="17"/>
                <w:rtl w:val="1"/>
              </w:rPr>
              <w:t>تاریخ مبنا</w:t>
            </w:r>
          </w:p>
        </w:tc>
        <w:tc>
          <w:tcPr>
            <w:tcW w:w="4508" w:type="dxa"/>
            <w:vAlign w:val="center"/>
            <w:tcMar>
              <w:top w:w="90" w:type="dxa"/>
              <w:start w:w="90" w:type="dxa"/>
              <w:bottom w:w="90" w:type="dxa"/>
              <w:end w:w="90" w:type="dxa"/>
            </w:tcMar>
          </w:tcPr>
          <w:p>
            <w:pPr>
              <w:jc w:val="right"/>
              <w:bidi w:val="1"/>
            </w:pPr>
            <w:r>
              <w:rPr>
                <w:rFonts w:ascii="Tahoma" w:hAnsi="Tahoma" w:cs="Tahoma" w:eastAsia="Tahoma"/>
                <w:b w:val="0"/>
                <w:sz w:val="17"/>
                <w:rtl w:val="1"/>
              </w:rPr>
              <w:t>شهریور ۱۴۰۵ / سپتامبر ۲۰۲۶</w:t>
            </w:r>
          </w:p>
        </w:tc>
      </w:tr>
      <w:tr w:rsidR="003168B7" w14:paraId="2DEEE31E" w14:textId="77777777" w:rsidTr="003168B7">
        <w:trPr>
          <w:cantSplit/>
        </w:trPr>
        <w:tc>
          <w:tcPr>
            <w:tcW w:w="4508" w:type="dxa"/>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رابطه با چرخه عمر</w:t>
            </w:r>
          </w:p>
        </w:tc>
        <w:tc>
          <w:tcPr>
            <w:tcW w:w="4508" w:type="dxa"/>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پس از تصویب به 01-current منتقل و مرجع کنترل تغییر اسناد پایین‌دستی می‌شود.</w:t>
            </w:r>
          </w:p>
        </w:tc>
      </w:tr>
    </w:tbl>
    <w:p w14:paraId="6D709FD8" w14:textId="77777777" w:rsidR="003168B7" w:rsidRDefault="003168B7" w:rsidP="003168B7">
      <w:pPr>
        <w:jc w:val="right"/>
        <w:rPr>
          <w:rtl/>
        </w:rPr>
        <w:bidi w:val="1"/>
      </w:pPr>
    </w:p>
    <w:p w14:paraId="65AE4B8C" w14:textId="77777777" w:rsidR="003168B7" w:rsidRDefault="003168B7" w:rsidP="003168B7">
      <w:pPr>
        <w:jc w:val="right"/>
        <w:rPr>
          <w:rtl/>
        </w:rPr>
        <w:bidi w:val="1"/>
      </w:pPr>
    </w:p>
    <w:p w14:paraId="75C818AF" w14:textId="77777777" w:rsidR="003168B7" w:rsidRDefault="003168B7" w:rsidP="003168B7">
      <w:pPr>
        <w:jc w:val="right"/>
        <w:rPr>
          <w:rtl/>
        </w:rPr>
        <w:bidi w:val="1"/>
      </w:pPr>
    </w:p>
    <w:p w14:paraId="67D583E7" w14:textId="77777777" w:rsidR="003168B7" w:rsidRDefault="003168B7" w:rsidP="003168B7">
      <w:pPr>
        <w:jc w:val="right"/>
        <w:rPr>
          <w:rtl/>
        </w:rPr>
        <w:bidi w:val="1"/>
      </w:pPr>
    </w:p>
    <w:p w14:paraId="6D3910F7" w14:textId="77777777" w:rsidR="003168B7" w:rsidRDefault="003168B7" w:rsidP="003168B7">
      <w:pPr>
        <w:jc w:val="right"/>
        <w:rPr>
          <w:rtl/>
        </w:rPr>
        <w:bidi w:val="1"/>
      </w:pPr>
    </w:p>
    <w:p w14:paraId="37BF53C9" w14:textId="77777777" w:rsidR="003168B7" w:rsidRDefault="003168B7" w:rsidP="003168B7">
      <w:pPr>
        <w:jc w:val="right"/>
        <w:rPr>
          <w:rtl/>
        </w:rPr>
        <w:bidi w:val="1"/>
      </w:pPr>
    </w:p>
    <w:p w14:paraId="4DC2A4F7" w14:textId="77777777" w:rsidR="003168B7" w:rsidRDefault="003168B7" w:rsidP="003168B7">
      <w:pPr>
        <w:jc w:val="right"/>
        <w:rPr>
          <w:rtl/>
        </w:rPr>
        <w:bidi w:val="1"/>
      </w:pPr>
    </w:p>
    <w:p>
      <w:pPr>
        <w:pStyle w:val="Heading1"/>
        <w:jc w:val="right"/>
        <w:bidi w:val="1"/>
      </w:pPr>
      <w:r>
        <w:rPr>
          <w:rFonts w:ascii="Tahoma" w:hAnsi="Tahoma" w:cs="Tahoma" w:eastAsia="Tahoma"/>
          <w:color w:val="000000"/>
          <w:rtl w:val="1"/>
        </w:rPr>
        <w:t>۱ | بیانیه چشم‌انداز</w:t>
      </w:r>
    </w:p>
    <w:p>
      <w:pPr>
        <w:pStyle w:val="SakhtNoLead"/>
        <w:jc w:val="right"/>
        <w:bidi w:val="1"/>
      </w:pPr>
      <w:r>
        <w:rPr>
          <w:rFonts w:ascii="Tahoma" w:hAnsi="Tahoma" w:cs="Tahoma" w:eastAsia="Tahoma"/>
          <w:rtl w:val="1"/>
        </w:rPr>
        <w:t>ساخت نو می‌خواهد خرید، تأمین و اجرای ساخت را از تعاملات پراکنده و کم‌شفاف به شبکه‌ای یکپارچه، قابل مشاهده و قابل اعتماد تبدیل کند؛ شبکه‌ای که در آن هر سفارش، معامله تجاری و تعهد پروژه‌ای از هویت و قرارداد تا تحویل، شواهد، تصمیم مالی، پرداخت و تسویه قابل بازسازی باشد.</w:t>
      </w:r>
    </w:p>
    <w:p>
      <w:pPr>
        <w:jc w:val="right"/>
        <w:bidi w:val="1"/>
      </w:pPr>
      <w:r>
        <w:rPr>
          <w:rFonts w:ascii="Tahoma" w:hAnsi="Tahoma" w:cs="Tahoma" w:eastAsia="Tahoma"/>
          <w:rtl w:val="1"/>
        </w:rPr>
        <w:t>ساخت نو یک پلتفرم عمودی تجارت و اجرای ساخت است که سه مسیر اصلی و هم‌سطح را روی هسته مشترک داده، شواهد، ریسک و پرداخت اداره می‌کند: B2C اسپیناس برای نیاز شخصی، B2B اسپیناس برای خرید و سرمایه در گردش کسب‌وکار، و پروژه اسپیناس برای قرارداد، پیشرفت و نقدینگی پروژه.</w:t>
      </w:r>
    </w:p>
    <w:p>
      <w:pPr>
        <w:jc w:val="right"/>
        <w:bidi w:val="1"/>
      </w:pPr>
      <w:r>
        <w:rPr>
          <w:rFonts w:ascii="Tahoma" w:hAnsi="Tahoma" w:cs="Tahoma" w:eastAsia="Tahoma"/>
          <w:rtl w:val="1"/>
        </w:rPr>
        <w:t>زنجیره تمایز: رویداد واقعی → معامله تأییدشده → تصمیم قابل توضیح → پرداخت کنترل‌شده → تسویه و یادگیری.</w:t>
      </w:r>
    </w:p>
    <w:p>
      <w:pPr>
        <w:pStyle w:val="Heading1"/>
        <w:jc w:val="right"/>
        <w:bidi w:val="1"/>
      </w:pPr>
      <w:r>
        <w:rPr>
          <w:rFonts w:ascii="Tahoma" w:hAnsi="Tahoma" w:cs="Tahoma" w:eastAsia="Tahoma"/>
          <w:color w:val="000000"/>
          <w:rtl w:val="1"/>
        </w:rPr>
        <w:t>۲ | مأموریت و وعده مرکزی</w:t>
      </w:r>
    </w:p>
    <w:p>
      <w:pPr>
        <w:jc w:val="right"/>
        <w:bidi w:val="1"/>
      </w:pPr>
      <w:r>
        <w:rPr>
          <w:rFonts w:ascii="Tahoma" w:hAnsi="Tahoma" w:cs="Tahoma" w:eastAsia="Tahoma"/>
          <w:rtl w:val="1"/>
        </w:rPr>
        <w:t>مأموریت ساخت نو، تبدیل رویداد واقعی خرید و اجرا به پرونده‌ای قابل اتکا برای تجارت، تصمیم و جابه‌جایی وجه است؛ بدون آنکه اختیار بانک، مالک پروژه، ناظر، ارزش‌گذار، بیمه‌گر یا مرجع حقوقی را تصاحب کند.</w:t>
      </w:r>
    </w:p>
    <w:tbl>
      <w:tblPr>
        <w:tblStyle w:val="TableGrid"/>
        <w:tblW w:type="auto" w:w="0"/>
        <w:tblLayout w:type="autofit"/>
        <w:tblLook w:firstColumn="1" w:firstRow="1" w:lastColumn="0" w:lastRow="0" w:noHBand="0" w:noVBand="1" w:val="04A0"/>
        <w:bidiVisual w:val="1"/>
        <w:jc w:val="right"/>
      </w:tblPr>
      <w:tblGrid>
        <w:gridCol w:w="4513"/>
        <w:gridCol w:w="4513"/>
      </w:tblGrid>
      <w:tr>
        <w:trPr>
          <w:tblHeader w:val="true"/>
          <w:cantSplit/>
        </w:trPr>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ماموریت</w:t>
            </w:r>
          </w:p>
        </w:tc>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خروجی قابل اثبات</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سازمان‌دهی تقاضا و عرضه تخصصی ساخت</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طرف، دامنه، قیمت و ظرفیت روشن</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ثبت معامله و اجرای واقعی</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سفارش، فاکتور، قرارداد، تحویل، پیشرفت و QC نسخه‌دار</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آماده‌سازی تصمیم مالی</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Evidence Snapshot، حد، شرط، قیمت و مالک تصمیم</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هدایت پرداخت و تسویه</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ذی‌نفع معتبر، مرجع بانکی، وصول و تطبیق</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ایجاد سابقه یادگیری</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عملکرد، کیفیت، ریسک، اقتصاد و اقدام اصلاحی</w:t>
            </w:r>
          </w:p>
        </w:tc>
      </w:tr>
    </w:tbl>
    <w:p>
      <w:pPr>
        <w:pStyle w:val="Heading1"/>
        <w:jc w:val="right"/>
        <w:bidi w:val="1"/>
      </w:pPr>
      <w:r>
        <w:rPr>
          <w:rFonts w:ascii="Tahoma" w:hAnsi="Tahoma" w:cs="Tahoma" w:eastAsia="Tahoma"/>
          <w:color w:val="000000"/>
          <w:rtl w:val="1"/>
        </w:rPr>
        <w:t>۳ | معماری راهبردی سه مسیر</w:t>
      </w:r>
    </w:p>
    <w:p>
      <w:pPr>
        <w:jc w:val="right"/>
        <w:bidi w:val="1"/>
      </w:pPr>
      <w:r>
        <w:rPr>
          <w:rFonts w:ascii="Tahoma" w:hAnsi="Tahoma" w:cs="Tahoma" w:eastAsia="Tahoma"/>
          <w:rtl w:val="1"/>
        </w:rPr>
        <w:t>سه مسیر، واحدهای واقعی بازار، قرارداد، عملیات، ریسک و P&amp;L هستند؛ نه برچسب گزارش‌گیری. اشتراک زیرساخت نباید قرارداد، ماشین وضعیت، سیاست ریسک، دفتر مالی یا اقتصاد مسیرها را مخلوط کند.</w:t>
      </w:r>
    </w:p>
    <w:tbl>
      <w:tblPr>
        <w:tblStyle w:val="TableGrid"/>
        <w:tblW w:type="auto" w:w="0"/>
        <w:tblLayout w:type="autofit"/>
        <w:tblLook w:firstColumn="1" w:firstRow="1" w:lastColumn="0" w:lastRow="0" w:noHBand="0" w:noVBand="1" w:val="04A0"/>
        <w:bidiVisual w:val="1"/>
        <w:jc w:val="right"/>
      </w:tblPr>
      <w:tblGrid>
        <w:gridCol w:w="2256"/>
        <w:gridCol w:w="2256"/>
        <w:gridCol w:w="2256"/>
        <w:gridCol w:w="2256"/>
      </w:tblGrid>
      <w:tr>
        <w:trPr>
          <w:tblHeader w:val="true"/>
          <w:cantSplit/>
        </w:trPr>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محور</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مسیر ۱ 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مسیر ۲ 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مسیر ۳ پروژه اسپیناس</w:t>
            </w:r>
          </w:p>
        </w:tc>
      </w:tr>
      <w:tr>
        <w:trPr>
          <w:cantSplit/>
        </w:trPr>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مشتری</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شخص حقیقی و خانوار</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کسب‌وکار، فروشنده حرفه‌ای و خریدار سازمانی</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مالک، توسعه‌دهنده، سازنده و سازمان پروژه‌محور</w:t>
            </w:r>
          </w:p>
        </w:tc>
      </w:tr>
      <w:tr>
        <w:trPr>
          <w:cantSplit/>
        </w:trPr>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کار مورد انتظار</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خرید محدود با تحویل و پرداخت روشن</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خرید تکرارشونده و مدیریت شکاف سرمایه در گردش</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کنترل قرارداد، پیشرفت، تعهد و نقدینگی پروژه</w:t>
            </w:r>
          </w:p>
        </w:tc>
      </w:tr>
      <w:tr>
        <w:trPr>
          <w:cantSplit/>
        </w:trPr>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واحد اصلی</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Customer + Order/Service Case</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Business Account + PO/Invoice/Trade</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Project + Contract + Work Package/Certificate</w:t>
            </w:r>
          </w:p>
        </w:tc>
      </w:tr>
      <w:tr>
        <w:trPr>
          <w:cantSplit/>
        </w:trPr>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چرخه</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کوتاه، پرتعداد و تحویل‌محور</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گردشی، حساب‌محور و معامله‌محور</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مرحله‌ای، چندطرفی و مبتنی بر پیشرفت/QC</w:t>
            </w:r>
          </w:p>
        </w:tc>
      </w:tr>
      <w:tr>
        <w:trPr>
          <w:cantSplit/>
        </w:trPr>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خروج موفق</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تحویل، تسویه فروشنده و بازپرداخت</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تطبیق، تسویه و احیای حد</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Verified Transaction، پرداخت مرحله‌ای و بستن تعهد</w:t>
            </w:r>
          </w:p>
        </w:tc>
      </w:tr>
      <w:tr>
        <w:trPr>
          <w:cantSplit/>
        </w:trPr>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ریسک غالب</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توان بازپرداخت، تحویل، مرجوعی و تقلب</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اصالت، تمرکز، Dilution و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بودجه، تغییر، تأخیر، کیفیت و جریان نقد</w:t>
            </w:r>
          </w:p>
        </w:tc>
      </w:tr>
    </w:tbl>
    <w:p>
      <w:pPr>
        <w:jc w:val="right"/>
        <w:bidi w:val="1"/>
      </w:pPr>
      <w:r>
        <w:rPr>
          <w:rFonts w:ascii="Tahoma" w:hAnsi="Tahoma" w:cs="Tahoma" w:eastAsia="Tahoma"/>
          <w:rtl w:val="1"/>
        </w:rPr>
        <w:t>گیت تبدیل میان مسیرها اجباری است. ورود خرید یا حساب تجاری به دامنه پروژه نیازمند Project ID، قرارداد، Baseline، نقش‌ها، بودجه و معیار پذیرش است؛ سابقه پیشین حفظ و با رابطه مرجع منتقل می‌شود.</w:t>
      </w:r>
    </w:p>
    <w:p>
      <w:pPr>
        <w:pStyle w:val="Heading1"/>
        <w:jc w:val="right"/>
        <w:bidi w:val="1"/>
      </w:pPr>
      <w:r>
        <w:rPr>
          <w:rFonts w:ascii="Tahoma" w:hAnsi="Tahoma" w:cs="Tahoma" w:eastAsia="Tahoma"/>
          <w:color w:val="000000"/>
          <w:rtl w:val="1"/>
        </w:rPr>
        <w:t>۴ | ارزش پیشنهادی و مشتریان</w:t>
      </w:r>
    </w:p>
    <w:tbl>
      <w:tblPr>
        <w:tblStyle w:val="TableGrid"/>
        <w:tblW w:type="auto" w:w="0"/>
        <w:tblLayout w:type="autofit"/>
        <w:tblLook w:firstColumn="1" w:firstRow="1" w:lastColumn="0" w:lastRow="0" w:noHBand="0" w:noVBand="1" w:val="04A0"/>
        <w:bidiVisual w:val="1"/>
        <w:jc w:val="right"/>
      </w:tblPr>
      <w:tblGrid>
        <w:gridCol w:w="4513"/>
        <w:gridCol w:w="4513"/>
      </w:tblGrid>
      <w:tr>
        <w:trPr>
          <w:tblHeader w:val="true"/>
          <w:cantSplit/>
        </w:trPr>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ذی‌نفع</w:t>
            </w:r>
          </w:p>
        </w:tc>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ارزش پیشنهادی</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مشتری B2C</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انتخاب معتبر، دامنه روشن، تحویل قابل پیگیری و پرداخت قابل مدیریت</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مشتری B2B</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شبکه تأمین معتبر، سفارش استاندارد، حد تجاری، تسویه و سابقه قابل استفاده مجدد</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مالک و مدیر پروژه</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پیوند قرارداد، بودجه، WBS، پیشرفت، QC، پرداخت و نقدینگی در پرونده واحد</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تأمین‌کننده و پیمانکار</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تقاضای معتبر، معیار پذیرش روشن، کاهش اختلاف و وصول قابل پیش‌بینی</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بانک و شریک مالی</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پرونده قابل توضیح طرف، معامله، مصرف، شواهد، Exposure، ذی‌نفع و بازپرداخت</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اکوسیستم</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کاهش مغایرت و دوباره‌کاری و ایجاد زبان مشترک اعتماد و عملکرد</w:t>
            </w:r>
          </w:p>
        </w:tc>
      </w:tr>
    </w:tbl>
    <w:p>
      <w:pPr>
        <w:pStyle w:val="Heading1"/>
        <w:jc w:val="right"/>
        <w:bidi w:val="1"/>
      </w:pPr>
      <w:r>
        <w:rPr>
          <w:rFonts w:ascii="Tahoma" w:hAnsi="Tahoma" w:cs="Tahoma" w:eastAsia="Tahoma"/>
          <w:color w:val="000000"/>
          <w:rtl w:val="1"/>
        </w:rPr>
        <w:t>۵ | هسته مشترک پلتفرم</w:t>
      </w:r>
    </w:p>
    <w:tbl>
      <w:tblPr>
        <w:tblStyle w:val="TableGrid"/>
        <w:tblW w:type="auto" w:w="0"/>
        <w:tblLayout w:type="autofit"/>
        <w:tblLook w:firstColumn="1" w:firstRow="1" w:lastColumn="0" w:lastRow="0" w:noHBand="0" w:noVBand="1" w:val="04A0"/>
        <w:bidiVisual w:val="1"/>
        <w:jc w:val="right"/>
      </w:tblPr>
      <w:tblGrid>
        <w:gridCol w:w="3009"/>
        <w:gridCol w:w="3009"/>
        <w:gridCol w:w="3009"/>
      </w:tblGrid>
      <w:tr>
        <w:trPr>
          <w:tblHeader w:val="true"/>
          <w:cantSplit/>
        </w:trPr>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قابلیت مشترک</w:t>
            </w:r>
          </w:p>
        </w:tc>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تعریف راهبردی</w:t>
            </w:r>
          </w:p>
        </w:tc>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مرز عدم اختلاط</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هویت و اختیار</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KYC/KYB، UBO، نقش، رضایت و امضا</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سیاست پذیرش Route مستقل</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شبکه ساخت</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عرضه، اجرا، لجستیک، QC و شریک مالی</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قرارداد و SLA مستقل</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اشیای معامله</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Order، PO، Invoice، Contract و Certificate</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Aggregate و State مستقل</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دفترکل شواهد</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سند، رویداد، Hash، نسخه، زمان و تصمیم</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Snapshot هر تصمیم حفظ می‌شود</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موتور ریسک</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اهلیت، حد، تمرکز، تقلب، EWS و استثنا</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Appetite و مالک زیان مستقل</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عملیات مالی و پرداخت</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Offer، Funding، Beneficiary، Settlement و Reconciliation</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دفتر مالی و Waterfall مستقل</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هوش دارایی</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مالکیت، ارزش، Lien، Haircut، LTV و Release</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تصمیم نهایی نزد بانک و متخصص</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داده و فناوری</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شناسه مرجع، API/Event، IAM، Audit و DR</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Route، Policy Version و Correlation حفظ می‌شود</w:t>
            </w:r>
          </w:p>
        </w:tc>
      </w:tr>
    </w:tbl>
    <w:p>
      <w:pPr>
        <w:pStyle w:val="Heading1"/>
        <w:jc w:val="right"/>
        <w:bidi w:val="1"/>
      </w:pPr>
      <w:r>
        <w:rPr>
          <w:rFonts w:ascii="Tahoma" w:hAnsi="Tahoma" w:cs="Tahoma" w:eastAsia="Tahoma"/>
          <w:color w:val="000000"/>
          <w:rtl w:val="1"/>
        </w:rPr>
        <w:t>۶ | مدل کسب‌وکار و منطق اقتصادی</w:t>
      </w:r>
    </w:p>
    <w:p>
      <w:pPr>
        <w:jc w:val="right"/>
        <w:bidi w:val="1"/>
      </w:pPr>
      <w:r>
        <w:rPr>
          <w:rFonts w:ascii="Tahoma" w:hAnsi="Tahoma" w:cs="Tahoma" w:eastAsia="Tahoma"/>
          <w:rtl w:val="1"/>
        </w:rPr>
        <w:t>درآمد ساخت نو از خدمت قابل اثبات ایجاد می‌شود، نه صرف عبور پول. هر Route مالک P&amp;L، واحد اقتصادی، کاتالوگ درآمد، Cost-to-Serve، زیان مورد انتظار و Gate مقیاس مستقل دارد.</w:t>
      </w:r>
    </w:p>
    <w:tbl>
      <w:tblPr>
        <w:tblStyle w:val="TableGrid"/>
        <w:tblW w:type="auto" w:w="0"/>
        <w:tblLayout w:type="autofit"/>
        <w:tblLook w:firstColumn="1" w:firstRow="1" w:lastColumn="0" w:lastRow="0" w:noHBand="0" w:noVBand="1" w:val="04A0"/>
        <w:bidiVisual w:val="1"/>
        <w:jc w:val="right"/>
      </w:tblPr>
      <w:tblGrid>
        <w:gridCol w:w="2256"/>
        <w:gridCol w:w="2256"/>
        <w:gridCol w:w="2256"/>
        <w:gridCol w:w="2256"/>
      </w:tblGrid>
      <w:tr>
        <w:trPr>
          <w:tblHeader w:val="true"/>
          <w:cantSplit/>
        </w:trPr>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موتور درآمد</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واحد اقتصادی</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شرط مقیاس</w:t>
            </w:r>
          </w:p>
        </w:tc>
      </w:tr>
      <w:tr>
        <w:trPr>
          <w:cantSplit/>
        </w:trPr>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B2C اسپیناس</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خدمت معامله و شبکه، اشتراک یا خدمات مجاز داده/مالی</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Customer، Order و Vintage</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Retention، FTR، زیان و Contribution مثبت</w:t>
            </w:r>
          </w:p>
        </w:tc>
      </w:tr>
      <w:tr>
        <w:trPr>
          <w:cantSplit/>
        </w:trPr>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عضویت/اشتراک، کارمزد معامله و خدمت تسویه/هماهنگی</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Account، Trade و Cycle</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Adoption، گردش سالم، وصول و تمرکز کنترل‌شده</w:t>
            </w:r>
          </w:p>
        </w:tc>
      </w:tr>
      <w:tr>
        <w:trPr>
          <w:cantSplit/>
        </w:trPr>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استقرار، اشتراک پروژه، خدمت بسته کاری، پایش و هماهنگی مالی</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Project، Contract و Work Package</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تحقق منافع، کنترل پروژه، اقتصاد و ظرفیت اثبات‌شده</w:t>
            </w:r>
          </w:p>
        </w:tc>
      </w:tr>
    </w:tbl>
    <w:p>
      <w:pPr>
        <w:jc w:val="right"/>
        <w:bidi w:val="1"/>
      </w:pPr>
      <w:r>
        <w:rPr>
          <w:rFonts w:ascii="Tahoma" w:hAnsi="Tahoma" w:cs="Tahoma" w:eastAsia="Tahoma"/>
          <w:rtl w:val="1"/>
        </w:rPr>
        <w:t>GMV، تعداد کاربر یا درآمد ناخالص به‌تنهایی مجوز رشد نیست؛ کیفیت، ریسک، هزینه، نقدینگی، ظرفیت کنترل و بازده تعدیل‌شده با ریسک باید هم‌زمان پذیرفتنی باشند.</w:t>
      </w:r>
    </w:p>
    <w:p>
      <w:pPr>
        <w:pStyle w:val="Heading1"/>
        <w:jc w:val="right"/>
        <w:bidi w:val="1"/>
      </w:pPr>
      <w:r>
        <w:rPr>
          <w:rFonts w:ascii="Tahoma" w:hAnsi="Tahoma" w:cs="Tahoma" w:eastAsia="Tahoma"/>
          <w:color w:val="000000"/>
          <w:rtl w:val="1"/>
        </w:rPr>
        <w:t>۷ | معماری مالی و اصول تأمین وجه</w:t>
      </w:r>
    </w:p>
    <w:p>
      <w:pPr>
        <w:jc w:val="right"/>
        <w:bidi w:val="1"/>
      </w:pPr>
      <w:r>
        <w:rPr>
          <w:rFonts w:ascii="Tahoma" w:hAnsi="Tahoma" w:cs="Tahoma" w:eastAsia="Tahoma"/>
          <w:rtl w:val="1"/>
        </w:rPr>
        <w:t>Embedded Finance روش ارائه خدمت مالی در متن تجربه خرید و پروژه است؛ مسیر چهارم، دسته مستقل وام یا نام سرویس مشتری نیست. BNPL و SCF فقط سازوکارهای داخلی احتمالی‌اند و استفاده از آن‌ها منوط به معامله واقعی، شواهد، قرارداد، مجوز و شریک مالی دارای اختیار است.</w:t>
      </w:r>
    </w:p>
    <w:tbl>
      <w:tblPr>
        <w:tblStyle w:val="TableGrid"/>
        <w:tblW w:type="auto" w:w="0"/>
        <w:tblLayout w:type="autofit"/>
        <w:tblLook w:firstColumn="1" w:firstRow="1" w:lastColumn="0" w:lastRow="0" w:noHBand="0" w:noVBand="1" w:val="04A0"/>
        <w:bidiVisual w:val="1"/>
        <w:jc w:val="right"/>
      </w:tblPr>
      <w:tblGrid>
        <w:gridCol w:w="4513"/>
        <w:gridCol w:w="4513"/>
      </w:tblGrid>
      <w:tr>
        <w:trPr>
          <w:tblHeader w:val="true"/>
          <w:cantSplit/>
        </w:trPr>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اصل</w:t>
            </w:r>
          </w:p>
        </w:tc>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قاعده Vision</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اختیار مالی</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اعتبار، نرخ، حد، تأمین وجه و زیان قراردادی نزد بانک یا نهاد مجاز می‌ماند.</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مصرف کنترل‌شده</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وجه به ذی‌نفع واقعی معامله هدایت می‌شود؛ Cash-out پیش‌فرض نیست.</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Single Financing</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یک دارایی، فاکتور، سفارش یا ظرفیت بیش از مانده خود تأمین مالی نمی‌شود.</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شفافیت</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هزینه کل، منبع وجه، مدت، حق رجوع و شرایط ابطال پیش از پذیرش روشن است.</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تسویه</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Bank Settled از پذیرش فنی پیام جدا و با دفترکل و صورت‌حساب تطبیق می‌شود.</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وثیقه</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ارزش اسمی بدون مالکیت، حقوق مقدم، Haircut، Exposure و پایش ظرفیت ایجاد نمی‌کند.</w:t>
            </w:r>
          </w:p>
        </w:tc>
      </w:tr>
    </w:tbl>
    <w:p>
      <w:pPr>
        <w:pStyle w:val="Heading1"/>
        <w:jc w:val="right"/>
        <w:bidi w:val="1"/>
      </w:pPr>
      <w:r>
        <w:rPr>
          <w:rFonts w:ascii="Tahoma" w:hAnsi="Tahoma" w:cs="Tahoma" w:eastAsia="Tahoma"/>
          <w:color w:val="000000"/>
          <w:rtl w:val="1"/>
        </w:rPr>
        <w:t>۸ | مدل عملیاتی هدف</w:t>
      </w:r>
    </w:p>
    <w:p>
      <w:pPr>
        <w:jc w:val="right"/>
        <w:bidi w:val="1"/>
      </w:pPr>
      <w:r>
        <w:rPr>
          <w:rFonts w:ascii="Tahoma" w:hAnsi="Tahoma" w:cs="Tahoma" w:eastAsia="Tahoma"/>
          <w:rtl w:val="1"/>
        </w:rPr>
        <w:t>مدل عملیاتی، سه ماشین وضعیت مستقل را با کنترل‌های مشترک به هم متصل می‌کند. هیچ تصمیم یا پرداختی بدون Party، شیء پایه، Evidence Snapshot، Policy Version، Approver و Correlation ID معتبر کامل نیست.</w:t>
      </w:r>
    </w:p>
    <w:tbl>
      <w:tblPr>
        <w:tblStyle w:val="TableGrid"/>
        <w:tblW w:type="auto" w:w="0"/>
        <w:tblLayout w:type="autofit"/>
        <w:tblLook w:firstColumn="1" w:firstRow="1" w:lastColumn="0" w:lastRow="0" w:noHBand="0" w:noVBand="1" w:val="04A0"/>
        <w:bidiVisual w:val="1"/>
        <w:jc w:val="right"/>
      </w:tblPr>
      <w:tblGrid>
        <w:gridCol w:w="2256"/>
        <w:gridCol w:w="2256"/>
        <w:gridCol w:w="2256"/>
        <w:gridCol w:w="2256"/>
      </w:tblGrid>
      <w:tr>
        <w:trPr>
          <w:tblHeader w:val="true"/>
          <w:cantSplit/>
        </w:trPr>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B2C</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B2B</w:t>
            </w:r>
          </w:p>
        </w:tc>
        <w:tc>
          <w:tcPr>
            <w:tcW w:type="dxa" w:w="2256"/>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پروژه</w:t>
            </w:r>
          </w:p>
        </w:tc>
      </w:tr>
      <w:tr>
        <w:trPr>
          <w:cantSplit/>
        </w:trPr>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ورود</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هویت و نیاز</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KYB و حساب تجاری</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Project Qualification</w:t>
            </w:r>
          </w:p>
        </w:tc>
      </w:tr>
      <w:tr>
        <w:trPr>
          <w:cantSplit/>
        </w:trPr>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Order/Service Case</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PO/Invoice/Trade</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Contract/WBS/Package</w:t>
            </w:r>
          </w:p>
        </w:tc>
      </w:tr>
      <w:tr>
        <w:trPr>
          <w:cantSplit/>
        </w:trPr>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تحقق</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Delivery/Acceptance</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Delivery/Match</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Progress/QC/Certificate</w:t>
            </w:r>
          </w:p>
        </w:tc>
      </w:tr>
      <w:tr>
        <w:trPr>
          <w:cantSplit/>
        </w:trPr>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تصمیم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Affordability/Limit/Offer</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Account+Trade Limit/Offer</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Project+Transaction Eligibility</w:t>
            </w:r>
          </w:p>
        </w:tc>
      </w:tr>
      <w:tr>
        <w:trPr>
          <w:cantSplit/>
        </w:trPr>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وجه</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Merchant Payment/Installment</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Supplier Settlement/Collection</w:t>
            </w:r>
          </w:p>
        </w:tc>
        <w:tc>
          <w:tcPr>
            <w:tcW w:type="dxa" w:w="2256"/>
            <w:vAlign w:val="center"/>
            <w:tcMar>
              <w:top w:w="90" w:type="dxa"/>
              <w:start w:w="90" w:type="dxa"/>
              <w:bottom w:w="90" w:type="dxa"/>
              <w:end w:w="90" w:type="dxa"/>
            </w:tcMar>
          </w:tcPr>
          <w:p>
            <w:pPr>
              <w:jc w:val="right"/>
              <w:bidi w:val="1"/>
            </w:pPr>
            <w:r>
              <w:rPr>
                <w:rFonts w:ascii="Tahoma" w:hAnsi="Tahoma" w:cs="Tahoma" w:eastAsia="Tahoma"/>
                <w:b w:val="0"/>
                <w:sz w:val="17"/>
                <w:rtl w:val="1"/>
              </w:rPr>
              <w:t>Drawdown/Waterfall/Settlement</w:t>
            </w:r>
          </w:p>
        </w:tc>
      </w:tr>
      <w:tr>
        <w:trPr>
          <w:cantSplit/>
        </w:trPr>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بستن</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Return/Repayment/Close</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Reconcile/Limit Release</w:t>
            </w:r>
          </w:p>
        </w:tc>
        <w:tc>
          <w:tcPr>
            <w:tcW w:type="dxa" w:w="2256"/>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Closeout/Retention/Collateral Release</w:t>
            </w:r>
          </w:p>
        </w:tc>
      </w:tr>
    </w:tbl>
    <w:p>
      <w:pPr>
        <w:pStyle w:val="Heading1"/>
        <w:jc w:val="right"/>
        <w:bidi w:val="1"/>
      </w:pPr>
      <w:r>
        <w:rPr>
          <w:rFonts w:ascii="Tahoma" w:hAnsi="Tahoma" w:cs="Tahoma" w:eastAsia="Tahoma"/>
          <w:color w:val="000000"/>
          <w:rtl w:val="1"/>
        </w:rPr>
        <w:t>۹ | حاکمیت، نقش و مرز مسئولیت</w:t>
      </w:r>
    </w:p>
    <w:tbl>
      <w:tblPr>
        <w:tblStyle w:val="TableGrid"/>
        <w:tblW w:type="auto" w:w="0"/>
        <w:tblLayout w:type="autofit"/>
        <w:tblLook w:firstColumn="1" w:firstRow="1" w:lastColumn="0" w:lastRow="0" w:noHBand="0" w:noVBand="1" w:val="04A0"/>
        <w:bidiVisual w:val="1"/>
        <w:jc w:val="right"/>
      </w:tblPr>
      <w:tblGrid>
        <w:gridCol w:w="3009"/>
        <w:gridCol w:w="3009"/>
        <w:gridCol w:w="3009"/>
      </w:tblGrid>
      <w:tr>
        <w:trPr>
          <w:tblHeader w:val="true"/>
          <w:cantSplit/>
        </w:trPr>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تصمیم</w:t>
            </w:r>
          </w:p>
        </w:tc>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مالک نهایی</w:t>
            </w:r>
          </w:p>
        </w:tc>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نقش ساخت نو</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پذیرش طرف و اختیار</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Compliance، مالک سازمان یا مرجع قراردادی</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گردآوری، کنترل کامل‌بودن و ثبت</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انتخاب و قرارداد</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خریدار یا مالک پروژه</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شبکه، Workflow و Evidence</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تحویل، کیفیت و پیشرفت</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پذیرنده، QC، ناظر یا مدیر پروژه</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ثبت رویداد و گیت</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اعتبار، قیمت، حد و زیان</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بانک یا شریک مالی مجاز</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هماهنگی داده و اجرای قواعد مصوب</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پرداخت و نگهداری وجه</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امضاداران و بانک/ارائه‌دهنده مجاز</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ساخت و رهگیری دستور و تطبیق</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ارزش و وثیقه</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ارزش‌گذار، حقوقی و بانک</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دفترکل تصمیم‌یار و هشدار</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داده و کنترل</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مالکان داده و کنترل</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Lineage، Audit و قابلیت بازسازی</w:t>
            </w:r>
          </w:p>
        </w:tc>
      </w:tr>
    </w:tbl>
    <w:p>
      <w:pPr>
        <w:jc w:val="right"/>
        <w:bidi w:val="1"/>
      </w:pPr>
      <w:r>
        <w:rPr>
          <w:rFonts w:ascii="Tahoma" w:hAnsi="Tahoma" w:cs="Tahoma" w:eastAsia="Tahoma"/>
          <w:rtl w:val="1"/>
        </w:rPr>
        <w:t>ساخت نو در حالت پایه بانک، سپرده‌پذیر، وام‌دهنده، بیمه‌گر، پیمانکار عمومی، ناظر قانونی، ارزش‌گذار رسمی یا داور حقوقی نیست. هر توسعه نقش نیازمند قرارداد، مجوز، سرمایه، کنترل و مالک ریسک مستقل است.</w:t>
      </w:r>
    </w:p>
    <w:p>
      <w:pPr>
        <w:pStyle w:val="Heading1"/>
        <w:jc w:val="right"/>
        <w:bidi w:val="1"/>
      </w:pPr>
      <w:r>
        <w:rPr>
          <w:rFonts w:ascii="Tahoma" w:hAnsi="Tahoma" w:cs="Tahoma" w:eastAsia="Tahoma"/>
          <w:color w:val="000000"/>
          <w:rtl w:val="1"/>
        </w:rPr>
        <w:t>۱۰ | اصول راهنما و خط قرمزها</w:t>
      </w:r>
    </w:p>
    <w:tbl>
      <w:tblPr>
        <w:tblStyle w:val="TableGrid"/>
        <w:tblW w:type="auto" w:w="0"/>
        <w:tblLayout w:type="autofit"/>
        <w:tblLook w:firstColumn="1" w:firstRow="1" w:lastColumn="0" w:lastRow="0" w:noHBand="0" w:noVBand="1" w:val="04A0"/>
        <w:bidiVisual w:val="1"/>
        <w:jc w:val="right"/>
      </w:tblPr>
      <w:tblGrid>
        <w:gridCol w:w="4513"/>
        <w:gridCol w:w="4513"/>
      </w:tblGrid>
      <w:tr>
        <w:trPr>
          <w:tblHeader w:val="true"/>
          <w:cantSplit/>
        </w:trPr>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اصل</w:t>
            </w:r>
          </w:p>
        </w:tc>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معنای الزام‌آور</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اعتماد مبتنی بر شواهد</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هر تعهد و تصمیم به رویداد، سند، طرف و مالک متصل است.</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سه مسیر یک هسته</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قابلیت مشترک است؛ قرارداد، ریسک، اقتصاد و State مستقل‌اند.</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تفکیک وعده از اختیار</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هیچ وعده‌ای فراتر از مجوز، ظرفیت و قرارداد داده نمی‌شود.</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کنترل مصرف و پرداخت</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مبلغ، Purpose، ذی‌نفع و قطعیت بانکی قابل بازسازی است.</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قابلیت توضیح و اعتراض</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رد، پذیرش، توقف، حد و پرداخت Reason Code و مسیر رسیدگی دارند.</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حریم و امنیت</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Purpose، Least Privilege، رمزنگاری، Audit و Retention رعایت می‌شوند.</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عدم اثر تکراری</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Idempotency و Reconciliation از معامله و پرداخت مضاعف جلوگیری می‌کنند.</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رشد مرحله‌ای</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Scale پس از داده معتبر، اقتصاد، ریسک، ظرفیت و کنترل انجام می‌شود.</w:t>
            </w:r>
          </w:p>
        </w:tc>
      </w:tr>
    </w:tbl>
    <w:p>
      <w:pPr>
        <w:pStyle w:val="Heading1"/>
        <w:jc w:val="right"/>
        <w:bidi w:val="1"/>
      </w:pPr>
      <w:r>
        <w:rPr>
          <w:rFonts w:ascii="Tahoma" w:hAnsi="Tahoma" w:cs="Tahoma" w:eastAsia="Tahoma"/>
          <w:color w:val="000000"/>
          <w:rtl w:val="1"/>
        </w:rPr>
        <w:t>۱۱ | معیارهای تحقق و North Star</w:t>
      </w:r>
    </w:p>
    <w:p>
      <w:pPr>
        <w:jc w:val="right"/>
        <w:bidi w:val="1"/>
      </w:pPr>
      <w:r>
        <w:rPr>
          <w:rFonts w:ascii="Tahoma" w:hAnsi="Tahoma" w:cs="Tahoma" w:eastAsia="Tahoma"/>
          <w:rtl w:val="1"/>
        </w:rPr>
        <w:t>North Star ساخت نو، ارزش واجد شرایطی است که بر معامله واقعی و شواهد معتبر فعال شده، صحیح پرداخت و تسویه شده و با کیفیت، هزینه و زیان کنترل‌شده نتیجه ایجاد کرده باشد.</w:t>
      </w:r>
    </w:p>
    <w:tbl>
      <w:tblPr>
        <w:tblStyle w:val="TableGrid"/>
        <w:tblW w:type="auto" w:w="0"/>
        <w:tblLayout w:type="autofit"/>
        <w:tblLook w:firstColumn="1" w:firstRow="1" w:lastColumn="0" w:lastRow="0" w:noHBand="0" w:noVBand="1" w:val="04A0"/>
        <w:bidiVisual w:val="1"/>
        <w:jc w:val="right"/>
      </w:tblPr>
      <w:tblGrid>
        <w:gridCol w:w="4513"/>
        <w:gridCol w:w="4513"/>
      </w:tblGrid>
      <w:tr>
        <w:trPr>
          <w:tblHeader w:val="true"/>
          <w:cantSplit/>
        </w:trPr>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بعد</w:t>
            </w:r>
          </w:p>
        </w:tc>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جهت‌گیری سنجش</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پذیرش و استفاده</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Activation، Adoption، Retention و استفاده سالم از هر Route</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سرعت</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Complete-to-Decision، Time-to-Cash و Issue-to-Resolve</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کیفیت</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Evidence Completeness، First-Time-Right، OTIF/QC و Reconciliation Break</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ریسک</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Exposure، Concentration، Overdue، Loss، Fraud و Collateral Coverage</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اقتصاد</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Revenue، Cost-to-Serve، Contribution، CAC Payback و Risk-adjusted Return</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تجربه</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شکایت، Effort، رضایت و اعتماد طرف‌های شبکه</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تاب‌آوری</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SLO، Data Quality، Security MTTR، RTO/RPO و آزمون بازیابی</w:t>
            </w:r>
          </w:p>
        </w:tc>
      </w:tr>
    </w:tbl>
    <w:p>
      <w:pPr>
        <w:jc w:val="right"/>
        <w:bidi w:val="1"/>
      </w:pPr>
      <w:r>
        <w:rPr>
          <w:rFonts w:ascii="Tahoma" w:hAnsi="Tahoma" w:cs="Tahoma" w:eastAsia="Tahoma"/>
          <w:rtl w:val="1"/>
        </w:rPr>
        <w:t>هدف عددی تنها پس از Baseline، مالک، منبع داده، افق و آستانه اقدام تصویب می‌شود. KPI فاقد کیفیت داده برای تصمیم حساس معتبر نیست.</w:t>
      </w:r>
    </w:p>
    <w:p>
      <w:pPr>
        <w:pStyle w:val="Heading1"/>
        <w:jc w:val="right"/>
        <w:bidi w:val="1"/>
      </w:pPr>
      <w:r>
        <w:rPr>
          <w:rFonts w:ascii="Tahoma" w:hAnsi="Tahoma" w:cs="Tahoma" w:eastAsia="Tahoma"/>
          <w:color w:val="000000"/>
          <w:rtl w:val="1"/>
        </w:rPr>
        <w:t>۱۲ | نقشه تحقق و گیت راهبردی</w:t>
      </w:r>
    </w:p>
    <w:tbl>
      <w:tblPr>
        <w:tblStyle w:val="TableGrid"/>
        <w:tblW w:type="auto" w:w="0"/>
        <w:tblLayout w:type="autofit"/>
        <w:tblLook w:firstColumn="1" w:firstRow="1" w:lastColumn="0" w:lastRow="0" w:noHBand="0" w:noVBand="1" w:val="04A0"/>
        <w:bidiVisual w:val="1"/>
        <w:jc w:val="right"/>
      </w:tblPr>
      <w:tblGrid>
        <w:gridCol w:w="3009"/>
        <w:gridCol w:w="3009"/>
        <w:gridCol w:w="3009"/>
      </w:tblGrid>
      <w:tr>
        <w:trPr>
          <w:tblHeader w:val="true"/>
          <w:cantSplit/>
        </w:trPr>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گیت</w:t>
            </w:r>
          </w:p>
        </w:tc>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شاهد حداقل</w:t>
            </w:r>
          </w:p>
        </w:tc>
        <w:tc>
          <w:tcPr>
            <w:tcW w:type="dxa" w:w="3009"/>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تصمیم</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Design Validated</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Route Charter، قراردادها، Policy، Data Model و معماری</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Build/Hold</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Shadow Ready</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سناریوی انتهابه‌انتها بدون پول، Audit و Reconciliation</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Controlled Live/Hold</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Controlled Live</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دامنه و سقف محدود، شریک مالی، Runbook و Stop Conditions</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Continue/Correct</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30 60 90 Review</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کیفیت، Adoption، Risk، Economics، Experience و Capacity</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Scale/Hold/Pivot/Stop</w:t>
            </w:r>
          </w:p>
        </w:tc>
      </w:tr>
      <w:tr>
        <w:trPr>
          <w:cantSplit/>
        </w:trPr>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Route Expansion</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اقتصاد واحد و کنترل مستقل Route</w:t>
            </w:r>
          </w:p>
        </w:tc>
        <w:tc>
          <w:tcPr>
            <w:tcW w:type="dxa" w:w="3009"/>
            <w:vAlign w:val="center"/>
            <w:tcMar>
              <w:top w:w="90" w:type="dxa"/>
              <w:start w:w="90" w:type="dxa"/>
              <w:bottom w:w="90" w:type="dxa"/>
              <w:end w:w="90" w:type="dxa"/>
            </w:tcMar>
          </w:tcPr>
          <w:p>
            <w:pPr>
              <w:jc w:val="right"/>
              <w:bidi w:val="1"/>
            </w:pPr>
            <w:r>
              <w:rPr>
                <w:rFonts w:ascii="Tahoma" w:hAnsi="Tahoma" w:cs="Tahoma" w:eastAsia="Tahoma"/>
                <w:b w:val="0"/>
                <w:sz w:val="17"/>
                <w:rtl w:val="1"/>
              </w:rPr>
              <w:t>Expand/Limit</w:t>
            </w:r>
          </w:p>
        </w:tc>
      </w:tr>
      <w:tr>
        <w:trPr>
          <w:cantSplit/>
        </w:trPr>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Network Scale</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تنوع طرف و تأمین وجه، تاب‌آوری و حاکمیت پرتفوی</w:t>
            </w:r>
          </w:p>
        </w:tc>
        <w:tc>
          <w:tcPr>
            <w:tcW w:type="dxa" w:w="3009"/>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Scale/Stop</w:t>
            </w:r>
          </w:p>
        </w:tc>
      </w:tr>
    </w:tbl>
    <w:p>
      <w:pPr>
        <w:jc w:val="right"/>
        <w:bidi w:val="1"/>
      </w:pPr>
      <w:r>
        <w:rPr>
          <w:rFonts w:ascii="Tahoma" w:hAnsi="Tahoma" w:cs="Tahoma" w:eastAsia="Tahoma"/>
          <w:rtl w:val="1"/>
        </w:rPr>
        <w:t>شرایط توقف شامل نقض هویت یا مجوز، فقدان منبع بازپرداخت، معامله یا تأمین مالی تکراری، دستکاری شواهد، خطای پرداخت بحرانی، مغایرت بانکی حل‌نشده، LTV درمان‌نشده یا رخداد امنیتی با اثر مالی است.</w:t>
      </w:r>
    </w:p>
    <w:p>
      <w:pPr>
        <w:pStyle w:val="Heading1"/>
        <w:jc w:val="right"/>
        <w:bidi w:val="1"/>
      </w:pPr>
      <w:r>
        <w:rPr>
          <w:rFonts w:ascii="Tahoma" w:hAnsi="Tahoma" w:cs="Tahoma" w:eastAsia="Tahoma"/>
          <w:color w:val="000000"/>
          <w:rtl w:val="1"/>
        </w:rPr>
        <w:t>۱۳ | تصمیم پیشنهادی برای تصویب</w:t>
      </w:r>
    </w:p>
    <w:p>
      <w:pPr>
        <w:jc w:val="right"/>
        <w:bidi w:val="1"/>
      </w:pPr>
      <w:r>
        <w:rPr>
          <w:rFonts w:ascii="Tahoma" w:hAnsi="Tahoma" w:cs="Tahoma" w:eastAsia="Tahoma"/>
          <w:rtl w:val="1"/>
        </w:rPr>
        <w:t>تصویب Vision v1.2 به‌عنوان مرجع جهت‌گیری کسب‌وکار، مشروط به پذیرش تصمیم‌های زیر پیشنهاد می‌شود:</w:t>
      </w:r>
    </w:p>
    <w:tbl>
      <w:tblPr>
        <w:tblStyle w:val="TableGrid"/>
        <w:tblW w:type="auto" w:w="0"/>
        <w:tblLayout w:type="autofit"/>
        <w:tblLook w:firstColumn="1" w:firstRow="1" w:lastColumn="0" w:lastRow="0" w:noHBand="0" w:noVBand="1" w:val="04A0"/>
        <w:bidiVisual w:val="1"/>
        <w:jc w:val="right"/>
      </w:tblPr>
      <w:tblGrid>
        <w:gridCol w:w="4513"/>
        <w:gridCol w:w="4513"/>
      </w:tblGrid>
      <w:tr>
        <w:trPr>
          <w:tblHeader w:val="true"/>
          <w:cantSplit/>
        </w:trPr>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تصمیم</w:t>
            </w:r>
          </w:p>
        </w:tc>
        <w:tc>
          <w:tcPr>
            <w:tcW w:type="dxa" w:w="4513"/>
            <w:vAlign w:val="center"/>
            <w:tcMar>
              <w:top w:w="90" w:type="dxa"/>
              <w:start w:w="90" w:type="dxa"/>
              <w:bottom w:w="90" w:type="dxa"/>
              <w:end w:w="90" w:type="dxa"/>
            </w:tcMar>
            <w:shd w:fill="173B5F"/>
          </w:tcPr>
          <w:p>
            <w:pPr>
              <w:jc w:val="right"/>
              <w:bidi w:val="1"/>
            </w:pPr>
            <w:r>
              <w:rPr>
                <w:rFonts w:ascii="Tahoma" w:hAnsi="Tahoma" w:cs="Tahoma" w:eastAsia="Tahoma"/>
                <w:b/>
                <w:color w:val="FFFFFF"/>
                <w:sz w:val="17"/>
                <w:rtl w:val="1"/>
              </w:rPr>
              <w:t>قید تصویب</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معماری</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سه مسیر B2C، B2B و پروژه هم‌سطح و دارای P&amp;L، قرارداد، State و Risk مستقل‌اند.</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هسته مشترک</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قابلیت‌ها مشترک‌اند، اما هر Event شناسه Route، مالک تصمیم و Policy Version را حفظ می‌کند.</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مدل مالی</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Embedded Finance روش ارائه و BNPL/SCF ابزار داخلی‌اند؛ اختیار نهایی مالی نزد نهاد مجاز است.</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مدل عملیاتی</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زنجیره رویداد تا تسویه با Evidence، Gate، Payment و Reconciliation قابل بازسازی است.</w:t>
            </w:r>
          </w:p>
        </w:tc>
      </w:tr>
      <w:tr>
        <w:trPr>
          <w:cantSplit/>
        </w:trPr>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رشد</w:t>
            </w:r>
          </w:p>
        </w:tc>
        <w:tc>
          <w:tcPr>
            <w:tcW w:type="dxa" w:w="4513"/>
            <w:vAlign w:val="center"/>
            <w:tcMar>
              <w:top w:w="90" w:type="dxa"/>
              <w:start w:w="90" w:type="dxa"/>
              <w:bottom w:w="90" w:type="dxa"/>
              <w:end w:w="90" w:type="dxa"/>
            </w:tcMar>
          </w:tcPr>
          <w:p>
            <w:pPr>
              <w:jc w:val="right"/>
              <w:bidi w:val="1"/>
            </w:pPr>
            <w:r>
              <w:rPr>
                <w:rFonts w:ascii="Tahoma" w:hAnsi="Tahoma" w:cs="Tahoma" w:eastAsia="Tahoma"/>
                <w:b w:val="0"/>
                <w:sz w:val="17"/>
                <w:rtl w:val="1"/>
              </w:rPr>
              <w:t>Scale فقط با ۹۰ روز داده معتبر، نقص بحرانی صفر، اقتصاد پذیرفتنی و ظرفیت اثبات‌شده مجاز است.</w:t>
            </w:r>
          </w:p>
        </w:tc>
      </w:tr>
      <w:tr>
        <w:trPr>
          <w:cantSplit/>
        </w:trPr>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چرخه سند</w:t>
            </w:r>
          </w:p>
        </w:tc>
        <w:tc>
          <w:tcPr>
            <w:tcW w:type="dxa" w:w="4513"/>
            <w:vAlign w:val="center"/>
            <w:tcMar>
              <w:top w:w="90" w:type="dxa"/>
              <w:start w:w="90" w:type="dxa"/>
              <w:bottom w:w="90" w:type="dxa"/>
              <w:end w:w="90" w:type="dxa"/>
            </w:tcMar>
            <w:shd w:fill="F5F8FA"/>
          </w:tcPr>
          <w:p>
            <w:pPr>
              <w:jc w:val="right"/>
              <w:bidi w:val="1"/>
            </w:pPr>
            <w:r>
              <w:rPr>
                <w:rFonts w:ascii="Tahoma" w:hAnsi="Tahoma" w:cs="Tahoma" w:eastAsia="Tahoma"/>
                <w:b w:val="0"/>
                <w:sz w:val="17"/>
                <w:rtl w:val="1"/>
              </w:rPr>
              <w:t>پس از تصویب، Vision به Current منتقل و Business، Finance و Operational Model با Change Register کنترل می‌شوند.</w:t>
            </w:r>
          </w:p>
        </w:tc>
      </w:tr>
    </w:tbl>
    <w:p>
      <w:pPr>
        <w:jc w:val="right"/>
        <w:bidi w:val="1"/>
      </w:pPr>
      <w:r>
        <w:rPr>
          <w:rFonts w:ascii="Tahoma" w:hAnsi="Tahoma" w:cs="Tahoma" w:eastAsia="Tahoma"/>
          <w:rtl w:val="1"/>
        </w:rPr>
        <w:t>وضعیت تصویب: در انتظار تأیید صاحب محصول و هیئت راهبری. پس از تأیید: انتقال کنترل‌شده به 01-current و ثبت Baseline جدید در رجیستر اسناد حاکم.</w:t>
      </w:r>
    </w:p>
    <w:sectPr w:rsidR="003168B7" w:rsidRPr="003168B7">
      <w:headerReference w:type="default" r:id="rId17"/>
      <w:footerReference w:type="default" r:id="rId18"/>
      <w:headerReference w:type="first" r:id="rId19"/>
      <w:footerReference w:type="first" r:id="rId20"/>
      <w:pgSz w:w="11906" w:h="16838"/>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99F8" w14:textId="77777777" w:rsidR="003C14F7" w:rsidRDefault="003C14F7">
      <w:pPr>
        <w:spacing w:after="0" w:line="240" w:lineRule="auto"/>
      </w:pPr>
      <w:r>
        <w:separator/>
      </w:r>
    </w:p>
  </w:endnote>
  <w:endnote w:type="continuationSeparator" w:id="0">
    <w:p w14:paraId="43F01681" w14:textId="77777777" w:rsidR="003C14F7" w:rsidRDefault="003C1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294B" w14:textId="77777777" w:rsidR="00AF0820" w:rsidRDefault="00AF0820">
    <w:pPr>
      <w:pStyle w:val="Footer"/>
      <w:jc w:val="right"/>
      <w:rPr>
        <w:sz w:val="2"/>
        <w:szCs w:val="2"/>
      </w:rPr>
      <w:bidi w:val="1"/>
    </w:pPr>
  </w:p>
  <w:p w14:paraId="0CE221AA"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312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A3238EB" w14:textId="08F44927" w:rsidR="00AF0820" w:rsidRDefault="00000000">
    <w:pPr>
      <w:pStyle w:val="Footer"/>
      <w:spacing w:after="100" w:line="276" w:lineRule="auto"/>
      <w:jc w:val="right"/>
      <w:bidi w:val="1"/>
    </w:pPr>
    <w:r>
      <w:rPr>
        <w:rFonts w:ascii="Tahoma" w:hAnsi="Tahoma" w:cs="Tahoma" w:eastAsia="Tahoma"/>
        <w:rtl w:val="1"/>
      </w:rPr>
      <w:t>سند راهبردی ساخت نو / SN-VIS-001   | صفحه</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CC9C" w14:textId="77777777" w:rsidR="00AF0820" w:rsidRDefault="00AF0820">
    <w:pPr>
      <w:pStyle w:val="Footer"/>
      <w:jc w:val="right"/>
      <w:rPr>
        <w:sz w:val="2"/>
        <w:szCs w:val="2"/>
      </w:rPr>
      <w:bidi w:val="1"/>
    </w:pPr>
  </w:p>
  <w:p w14:paraId="28E352EB" w14:textId="77777777" w:rsidR="00AF0820" w:rsidRDefault="00897BBD">
    <w:pPr>
      <w:pStyle w:val="Footer"/>
      <w:jc w:val="right"/>
      <w:bidi w:val="1"/>
    </w:pPr>
    <w:r>
      <w:rPr>
        <w:noProof/>
        <w:rFonts w:ascii="Tahoma" w:hAnsi="Tahoma" w:eastAsia="Tahoma" w:cs="Tahoma"/>
        <w:rtl w:val="1"/>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3F0B778" w14:textId="77777777" w:rsidR="00AF0820" w:rsidRDefault="00000000">
    <w:pPr>
      <w:pStyle w:val="Footer"/>
      <w:spacing w:after="100" w:line="276" w:lineRule="auto"/>
      <w:jc w:val="right"/>
      <w:bidi w:val="1"/>
    </w:pPr>
    <w:r>
      <w:rPr>
        <w:rFonts w:ascii="Tahoma" w:hAnsi="Tahoma" w:cs="Tahoma" w:eastAsia="Tahoma"/>
        <w:rtl w:val="1"/>
      </w:rPr>
      <w:t>سند راهبردی ساخت نو / SN-VIS-001   | صفحه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7799" w14:textId="77777777" w:rsidR="003C14F7" w:rsidRDefault="003C14F7">
      <w:pPr>
        <w:spacing w:after="0" w:line="240" w:lineRule="auto"/>
      </w:pPr>
      <w:r>
        <w:separator/>
      </w:r>
    </w:p>
  </w:footnote>
  <w:footnote w:type="continuationSeparator" w:id="0">
    <w:p w14:paraId="362590A1" w14:textId="77777777" w:rsidR="003C14F7" w:rsidRDefault="003C1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071"/>
      <w:gridCol w:w="1507"/>
      <w:gridCol w:w="1523"/>
      <w:gridCol w:w="1801"/>
      <w:gridCol w:w="2098"/>
    </w:tblGrid>
    <w:tr w:rsidR="00AF0820" w14:paraId="4BBDC2D2" w14:textId="77777777">
      <w:trPr>
        <w:trHeight w:val="137"/>
        <w:jc w:val="right"/>
        <w:cantSplit/>
        <w:tblHeader/>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7FCA01F" w14:textId="50589E42" w:rsidR="00AF0820" w:rsidRDefault="003A5479">
          <w:pPr>
            <w:spacing w:after="200"/>
            <w:jc w:val="right"/>
            <w:rPr>
              <w:rtl/>
            </w:rPr>
            <w:bidi w:val="1"/>
          </w:pPr>
          <w:r w:rsidRPr="003A5479">
            <w:rPr>
              <w:noProof/>
              <w:rtl w:val="1"/>
              <w:rFonts w:ascii="Tahoma" w:hAnsi="Tahoma" w:eastAsia="Tahoma" w:cs="Tahoma"/>
            </w:rPr>
            <w:drawing>
              <wp:anchor distT="0" distB="0" distL="114300" distR="114300" simplePos="0" relativeHeight="25166336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19781F5" w14:textId="53C0565D" w:rsidR="00AF0820" w:rsidRPr="000C20B8" w:rsidRDefault="003168B7" w:rsidP="003168B7">
          <w:pPr>
            <w:jc w:val="right"/>
            <w:rPr>
              <w:rFonts w:cs="B Titr"/>
              <w:b/>
              <w:bCs/>
              <w:rtl/>
            </w:rPr>
            <w:bidi w:val="1"/>
          </w:pPr>
          <w:proofErr w:type="spellStart"/>
          <w:r w:rsidRPr="003168B7">
            <w:rPr>
              <w:rFonts w:cs="Tahoma" w:ascii="Tahoma" w:hAnsi="Tahoma" w:eastAsia="Tahoma"/>
              <w:sz w:val="17"/>
              <w:szCs w:val="17"/>
              <w:rtl w:val="1"/>
            </w:rPr>
            <w:t>چشم‌انداز</w:t>
          </w:r>
          <w:proofErr w:type="spellEnd"/>
          <w:r>
            <w:rPr>
              <w:rFonts w:cs="Tahoma" w:hint="cs" w:ascii="Tahoma" w:hAnsi="Tahoma" w:eastAsia="Tahoma"/>
              <w:sz w:val="17"/>
              <w:szCs w:val="17"/>
              <w:rtl w:val="1"/>
            </w:rPr>
            <w:t xml:space="preserve"> </w:t>
          </w:r>
          <w:proofErr w:type="spellStart"/>
          <w:r w:rsidR="000E399C">
            <w:rPr>
              <w:rFonts w:cs="Tahoma" w:hint="cs" w:ascii="Tahoma" w:hAnsi="Tahoma" w:eastAsia="Tahoma"/>
              <w:sz w:val="17"/>
              <w:szCs w:val="17"/>
              <w:rtl w:val="1"/>
            </w:rPr>
            <w:t>اکو</w:t>
          </w:r>
          <w:proofErr w:type="spellEnd"/>
          <w:r w:rsidR="000E399C">
            <w:rPr>
              <w:rFonts w:cs="Tahoma" w:hint="cs" w:ascii="Tahoma" w:hAnsi="Tahoma" w:eastAsia="Tahoma"/>
              <w:sz w:val="17"/>
              <w:szCs w:val="17"/>
              <w:rtl w:val="1"/>
            </w:rPr>
            <w:t xml:space="preserve"> سیستم ساخت نو</w:t>
          </w:r>
          <w:r w:rsidR="000E399C">
            <w:rPr>
              <w:rFonts w:cs="Tahoma" w:ascii="Tahoma" w:hAnsi="Tahoma" w:eastAsia="Tahoma"/>
              <w:b/>
              <w:bCs/>
              <w:rtl w:val="1"/>
            </w:rPr>
            <w:br/>
          </w:r>
          <w:proofErr w:type="spellStart"/>
          <w:r w:rsidR="000E399C">
            <w:rPr>
              <w:rFonts w:cs="Tahoma" w:ascii="Tahoma" w:hAnsi="Tahoma" w:eastAsia="Tahoma"/>
              <w:b/>
              <w:bCs/>
              <w:rtl w:val="1"/>
            </w:rPr>
            <w:t>Sakhte_No</w:t>
          </w:r>
          <w:proofErr w:type="spellEnd"/>
          <w:r w:rsidR="000E399C">
            <w:rPr>
              <w:rFonts w:cs="Tahoma" w:ascii="Tahoma" w:hAnsi="Tahoma" w:eastAsia="Tahoma"/>
              <w:b/>
              <w:bCs/>
              <w:rtl w:val="1"/>
            </w:rPr>
            <w:t xml:space="preserve"> </w:t>
          </w:r>
          <w:r>
            <w:rPr>
              <w:rFonts w:cs="Tahoma" w:ascii="Tahoma" w:hAnsi="Tahoma" w:eastAsia="Tahoma"/>
              <w:b/>
              <w:bCs/>
              <w:rtl w:val="1"/>
            </w:rPr>
            <w:t>Vision</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C614C6D" w14:textId="77777777" w:rsidR="00AF0820" w:rsidRDefault="000E399C">
          <w:pPr>
            <w:spacing w:after="200"/>
            <w:jc w:val="right"/>
            <w:bidi w:val="1"/>
          </w:pPr>
          <w:r>
            <w:rPr>
              <w:noProof/>
              <w:rFonts w:ascii="Tahoma" w:hAnsi="Tahoma" w:eastAsia="Tahoma" w:cs="Tahoma"/>
              <w:rtl w:val="1"/>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D84947E" w14:textId="77777777" w:rsidTr="000C20B8">
      <w:trPr>
        <w:trHeight w:val="492"/>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9E7C83B"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BF96662"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9D9AD79" w14:textId="77777777" w:rsidR="00AF0820" w:rsidRPr="000C20B8" w:rsidRDefault="00000000" w:rsidP="000C20B8">
          <w:pPr>
            <w:spacing w:after="0"/>
            <w:jc w:val="right"/>
            <w:rPr>
              <w:rStyle w:val="BookTitle"/>
              <w:b w:val="0"/>
              <w:bCs/>
              <w:sz w:val="18"/>
              <w:szCs w:val="18"/>
            </w:rPr>
            <w:bidi w:val="1"/>
          </w:pPr>
          <w:r w:rsidRPr="000C20B8">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EE0B5B3" w14:textId="77777777" w:rsidR="00AF0820" w:rsidRPr="000C20B8" w:rsidRDefault="00000000" w:rsidP="000C20B8">
          <w:pPr>
            <w:spacing w:after="0"/>
            <w:jc w:val="right"/>
            <w:rPr>
              <w:rStyle w:val="BookTitle"/>
              <w:b w:val="0"/>
              <w:bCs/>
              <w:sz w:val="18"/>
              <w:szCs w:val="18"/>
              <w:rtl/>
            </w:rPr>
            <w:bidi w:val="1"/>
          </w:pPr>
          <w:r w:rsidRPr="000C20B8">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A77D74" w14:textId="77777777" w:rsidR="00AF0820" w:rsidRDefault="00AF0820">
          <w:pPr>
            <w:spacing w:after="200"/>
            <w:jc w:val="right"/>
          </w:pPr>
        </w:p>
      </w:tc>
    </w:tr>
    <w:tr w:rsidR="00AF0820" w14:paraId="0233754D" w14:textId="77777777" w:rsidTr="00B26B28">
      <w:trPr>
        <w:trHeight w:val="18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2419F4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A896526" w14:textId="0242718E" w:rsidR="00AF0820" w:rsidRPr="000C20B8" w:rsidRDefault="000E399C" w:rsidP="000C20B8">
          <w:pPr>
            <w:spacing w:after="0"/>
            <w:jc w:val="right"/>
            <w:rPr>
              <w:b/>
              <w:bCs/>
              <w:color w:val="1F2F3D"/>
              <w:sz w:val="18"/>
              <w:szCs w:val="18"/>
            </w:rPr>
            <w:bidi w:val="1"/>
          </w:pPr>
          <w:r>
            <w:rPr>
              <w:b/>
              <w:bCs/>
              <w:sz w:val="17"/>
              <w:szCs w:val="17"/>
              <w:rFonts w:ascii="Tahoma" w:hAnsi="Tahoma" w:eastAsia="Tahoma" w:cs="Tahoma"/>
              <w:rtl w:val="1"/>
            </w:rPr>
            <w:t>SN</w:t>
          </w:r>
          <w:r w:rsidRPr="000C20B8">
            <w:rPr>
              <w:b/>
              <w:bCs/>
              <w:sz w:val="17"/>
              <w:szCs w:val="17"/>
              <w:rFonts w:ascii="Tahoma" w:hAnsi="Tahoma" w:eastAsia="Tahoma" w:cs="Tahoma"/>
              <w:rtl w:val="1"/>
            </w:rPr>
            <w:t>-</w:t>
          </w:r>
          <w:r w:rsidR="003168B7">
            <w:rPr>
              <w:b/>
              <w:bCs/>
              <w:sz w:val="17"/>
              <w:szCs w:val="17"/>
              <w:rFonts w:ascii="Tahoma" w:hAnsi="Tahoma" w:eastAsia="Tahoma" w:cs="Tahoma"/>
              <w:rtl w:val="1"/>
            </w:rPr>
            <w:t>VIS</w:t>
          </w:r>
          <w:r w:rsidRPr="000C20B8">
            <w:rPr>
              <w:b/>
              <w:bCs/>
              <w:sz w:val="17"/>
              <w:szCs w:val="17"/>
              <w:rFonts w:ascii="Tahoma" w:hAnsi="Tahoma" w:eastAsia="Tahoma" w:cs="Tahoma"/>
              <w:rtl w:val="1"/>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FA5FA4" w14:textId="3BEC2B87" w:rsidR="00AF0820" w:rsidRPr="000C20B8" w:rsidRDefault="003168B7" w:rsidP="000C20B8">
          <w:pPr>
            <w:spacing w:after="0"/>
            <w:jc w:val="right"/>
            <w:rPr>
              <w:b/>
              <w:bCs/>
            </w:rPr>
            <w:bidi w:val="1"/>
          </w:pPr>
          <w:r>
            <w:rPr>
              <w:b/>
              <w:bCs/>
              <w:sz w:val="17"/>
              <w:szCs w:val="17"/>
              <w:rFonts w:ascii="Tahoma" w:hAnsi="Tahoma" w:eastAsia="Tahoma" w:cs="Tahoma"/>
              <w:rtl w:val="1"/>
            </w:rPr>
            <w:t>1</w:t>
          </w:r>
          <w:r w:rsidR="000E399C" w:rsidRPr="000C20B8">
            <w:rPr>
              <w:b/>
              <w:bCs/>
              <w:sz w:val="17"/>
              <w:szCs w:val="17"/>
              <w:rFonts w:ascii="Tahoma" w:hAnsi="Tahoma" w:eastAsia="Tahoma" w:cs="Tahoma"/>
              <w:rtl w:val="1"/>
            </w:rPr>
            <w:t>٫</w:t>
          </w:r>
          <w:r>
            <w:rPr>
              <w:b/>
              <w:bCs/>
              <w:sz w:val="17"/>
              <w:szCs w:val="17"/>
              <w:rFonts w:ascii="Tahoma" w:hAnsi="Tahoma" w:eastAsia="Tahoma" w:cs="Tahoma"/>
              <w:rtl w:val="1"/>
            </w:rPr>
            <w:t>1</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733BB5E" w14:textId="6BE8744B" w:rsidR="00AF0820" w:rsidRPr="000C20B8" w:rsidRDefault="003168B7" w:rsidP="000C20B8">
          <w:pPr>
            <w:spacing w:after="0"/>
            <w:jc w:val="right"/>
            <w:rPr>
              <w:b/>
              <w:bCs/>
              <w:color w:val="1F2F3D"/>
              <w:sz w:val="18"/>
              <w:szCs w:val="18"/>
            </w:rPr>
            <w:bidi w:val="1"/>
          </w:pPr>
          <w:r>
            <w:rPr>
              <w:b/>
              <w:bCs/>
              <w:sz w:val="17"/>
              <w:szCs w:val="17"/>
              <w:rFonts w:ascii="Tahoma" w:hAnsi="Tahoma" w:eastAsia="Tahoma" w:cs="Tahoma"/>
              <w:rtl w:val="1"/>
            </w:rPr>
            <w:t>Vision</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6A7E61B" w14:textId="77777777" w:rsidR="00AF0820" w:rsidRDefault="00AF0820">
          <w:pPr>
            <w:spacing w:after="200"/>
            <w:jc w:val="right"/>
          </w:pPr>
        </w:p>
      </w:tc>
    </w:tr>
  </w:tbl>
  <w:p w14:paraId="0B27B623" w14:textId="77777777" w:rsidR="00AF0820" w:rsidRDefault="00AF0820">
    <w:pPr>
      <w:spacing w:after="200"/>
      <w:jc w:val="right"/>
      <w:rPr>
        <w:sz w:val="2"/>
        <w:szCs w:val="2"/>
      </w:rPr>
      <w:bidi w:v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val="1"/>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A1BE640" w14:textId="77777777">
      <w:trPr>
        <w:trHeight w:val="137"/>
        <w:jc w:val="right"/>
        <w:cantSplit/>
        <w:tblHeader/>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4D13148D" w14:textId="77777777" w:rsidR="00AF0820" w:rsidRDefault="00000000">
          <w:pPr>
            <w:spacing w:after="200"/>
            <w:jc w:val="right"/>
            <w:bidi w:val="1"/>
          </w:pPr>
          <w:r>
            <w:rPr>
              <w:noProof/>
              <w:rtl w:val="1"/>
              <w:rFonts w:ascii="Tahoma" w:hAnsi="Tahoma" w:eastAsia="Tahoma" w:cs="Tahoma"/>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0085683" w14:textId="77777777" w:rsidR="00AF0820" w:rsidRDefault="00000000">
          <w:pPr>
            <w:spacing w:after="0"/>
            <w:jc w:val="right"/>
            <w:rPr>
              <w:rFonts w:cs="B Titr"/>
            </w:rPr>
            <w:bidi w:val="1"/>
          </w:pPr>
          <w:r>
            <w:rPr>
              <w:sz w:val="17"/>
              <w:szCs w:val="17"/>
              <w:rtl w:val="1"/>
              <w:rFonts w:ascii="Tahoma" w:hAnsi="Tahoma" w:eastAsia="Tahoma" w:cs="Tahoma"/>
            </w:rPr>
            <w:t>گزارش ارزیابی یکپارچه پروژه و توجیه استقرار مدیریت پیمان</w:t>
          </w:r>
        </w:p>
        <w:p w14:paraId="0AEBD202" w14:textId="77777777" w:rsidR="00AF0820" w:rsidRDefault="00000000">
          <w:pPr>
            <w:spacing w:after="0"/>
            <w:jc w:val="right"/>
            <w:rPr>
              <w:rFonts w:cs="B Titr"/>
            </w:rPr>
            <w:bidi w:val="1"/>
          </w:pPr>
          <w:r>
            <w:rPr>
              <w:rFonts w:hint="eastAsia" w:ascii="Tahoma" w:hAnsi="Tahoma" w:eastAsia="Tahoma" w:cs="Tahoma"/>
              <w:sz w:val="17"/>
              <w:szCs w:val="17"/>
              <w:rtl w:val="1"/>
            </w:rPr>
            <w:t xml:space="preserve">پروژه احداث کارخانه تولید </w:t>
          </w:r>
          <w:proofErr w:type="spellStart"/>
          <w:r>
            <w:rPr>
              <w:rFonts w:hint="eastAsia" w:ascii="Tahoma" w:hAnsi="Tahoma" w:eastAsia="Tahoma" w:cs="Tahoma"/>
              <w:sz w:val="17"/>
              <w:szCs w:val="17"/>
              <w:rtl w:val="1"/>
            </w:rPr>
            <w:t>کاتد</w:t>
          </w:r>
          <w:proofErr w:type="spellEnd"/>
          <w:r>
            <w:rPr>
              <w:rFonts w:hint="eastAsia" w:ascii="Tahoma" w:hAnsi="Tahoma" w:eastAsia="Tahoma" w:cs="Tahoma"/>
              <w:sz w:val="17"/>
              <w:szCs w:val="17"/>
              <w:rtl w:val="1"/>
            </w:rPr>
            <w:t xml:space="preserve"> مجتمع مس </w:t>
          </w:r>
          <w:proofErr w:type="spellStart"/>
          <w:r>
            <w:rPr>
              <w:rFonts w:hint="eastAsia" w:ascii="Tahoma" w:hAnsi="Tahoma" w:eastAsia="Tahoma" w:cs="Tahoma"/>
              <w:sz w:val="17"/>
              <w:szCs w:val="17"/>
              <w:rtl w:val="1"/>
            </w:rPr>
            <w:t>سونگون</w:t>
          </w:r>
          <w:proofErr w:type="spellEnd"/>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3E4584B" w14:textId="77777777" w:rsidR="00AF0820" w:rsidRDefault="00000000">
          <w:pPr>
            <w:spacing w:after="200"/>
            <w:jc w:val="right"/>
            <w:bidi w:val="1"/>
          </w:pPr>
          <w:r>
            <w:rPr>
              <w:noProof/>
              <w:rtl w:val="1"/>
              <w:rFonts w:ascii="Tahoma" w:hAnsi="Tahoma" w:eastAsia="Tahoma" w:cs="Tahoma"/>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C134D36" w14:textId="77777777">
      <w:trPr>
        <w:trHeight w:val="36"/>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B5CF72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88234BD"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2DF885"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CA3F98F" w14:textId="77777777" w:rsidR="00AF0820" w:rsidRDefault="00000000">
          <w:pPr>
            <w:spacing w:after="0"/>
            <w:jc w:val="right"/>
            <w:rPr>
              <w:rStyle w:val="BookTitle"/>
              <w:b w:val="0"/>
              <w:bCs/>
              <w:sz w:val="18"/>
              <w:szCs w:val="18"/>
            </w:rPr>
            <w:bidi w:val="1"/>
          </w:pPr>
          <w:r>
            <w:rPr>
              <w:b/>
              <w:bCs/>
              <w:sz w:val="17"/>
              <w:szCs w:val="17"/>
              <w:rtl w:val="1"/>
              <w:rFonts w:ascii="Tahoma" w:hAnsi="Tahoma" w:eastAsia="Tahoma" w:cs="Tahoma"/>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9A9A45C" w14:textId="77777777" w:rsidR="00AF0820" w:rsidRDefault="00AF0820">
          <w:pPr>
            <w:spacing w:after="200"/>
            <w:jc w:val="right"/>
          </w:pPr>
        </w:p>
      </w:tc>
    </w:tr>
    <w:tr w:rsidR="00AF0820" w14:paraId="65C9A269" w14:textId="77777777">
      <w:trPr>
        <w:trHeight w:val="211"/>
        <w:jc w:val="right"/>
        <w:cantSpli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B86111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14B9985" w14:textId="77777777" w:rsidR="00AF0820" w:rsidRDefault="00000000">
          <w:pPr>
            <w:spacing w:after="0"/>
            <w:jc w:val="right"/>
            <w:rPr>
              <w:b/>
              <w:color w:val="1F2F3D"/>
              <w:sz w:val="18"/>
              <w:szCs w:val="18"/>
            </w:rPr>
            <w:bidi w:val="1"/>
          </w:pPr>
          <w:r>
            <w:rPr>
              <w:rFonts w:ascii="Tahoma" w:hAnsi="Tahoma" w:cs="Tahoma" w:eastAsia="Tahoma"/>
              <w:rtl w:val="1"/>
            </w:rPr>
            <w:t>SN-VIS-001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C4D5331" w14:textId="77777777" w:rsidR="00AF0820" w:rsidRDefault="00000000">
          <w:pPr>
            <w:spacing w:after="200"/>
            <w:jc w:val="right"/>
            <w:bidi w:val="1"/>
          </w:pPr>
          <w:r>
            <w:rPr>
              <w:sz w:val="17"/>
              <w:szCs w:val="17"/>
              <w:rFonts w:ascii="Tahoma" w:hAnsi="Tahoma" w:eastAsia="Tahoma" w:cs="Tahoma"/>
              <w:rtl w:val="1"/>
            </w:rPr>
            <w:t>10.8</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D7D4A66" w14:textId="77777777" w:rsidR="00AF0820" w:rsidRDefault="00000000">
          <w:pPr>
            <w:spacing w:after="0"/>
            <w:jc w:val="right"/>
            <w:rPr>
              <w:b/>
              <w:color w:val="1F2F3D"/>
              <w:sz w:val="18"/>
              <w:szCs w:val="18"/>
            </w:rPr>
            <w:bidi w:val="1"/>
          </w:pPr>
          <w:r>
            <w:rPr>
              <w:sz w:val="17"/>
              <w:szCs w:val="17"/>
              <w:rtl w:val="1"/>
              <w:rFonts w:ascii="Tahoma" w:hAnsi="Tahoma" w:eastAsia="Tahoma" w:cs="Tahoma"/>
            </w:rPr>
            <w:t>گزارش توجیهی</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A9C35D2" w14:textId="77777777" w:rsidR="00AF0820" w:rsidRDefault="00AF0820">
          <w:pPr>
            <w:spacing w:after="200"/>
            <w:jc w:val="right"/>
          </w:pPr>
        </w:p>
      </w:tc>
    </w:tr>
  </w:tbl>
  <w:p w14:paraId="03689048" w14:textId="77777777" w:rsidR="00AF0820" w:rsidRDefault="00AF0820">
    <w:pPr>
      <w:spacing w:after="200"/>
      <w:jc w:val="right"/>
      <w:rPr>
        <w:sz w:val="2"/>
        <w:szCs w:val="2"/>
      </w:rPr>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2F45F5E"/>
    <w:multiLevelType w:val="multilevel"/>
    <w:tmpl w:val="D026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9D12112"/>
    <w:multiLevelType w:val="multilevel"/>
    <w:tmpl w:val="C06C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8" w15:restartNumberingAfterBreak="0">
    <w:nsid w:val="4DBA0E98"/>
    <w:multiLevelType w:val="multilevel"/>
    <w:tmpl w:val="151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705CB"/>
    <w:multiLevelType w:val="multilevel"/>
    <w:tmpl w:val="C16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67F57"/>
    <w:multiLevelType w:val="singleLevel"/>
    <w:tmpl w:val="EABEF8B4"/>
    <w:lvl w:ilvl="0">
      <w:start w:val="1"/>
      <w:numFmt w:val="bullet"/>
      <w:pStyle w:val="ListBullet"/>
      <w:lvlText w:val="•"/>
      <w:lvlJc w:val="left"/>
      <w:pPr>
        <w:tabs>
          <w:tab w:val="num" w:pos="540"/>
        </w:tabs>
        <w:bidi/>
        <w:spacing w:after="80" w:line="300" w:lineRule="auto"/>
        <w:ind w:left="540" w:hanging="270"/>
      </w:pPr>
    </w:lvl>
  </w:abstractNum>
  <w:abstractNum w:abstractNumId="11" w15:restartNumberingAfterBreak="0">
    <w:nsid w:val="546A3EE3"/>
    <w:multiLevelType w:val="multilevel"/>
    <w:tmpl w:val="A090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A654AB4"/>
    <w:multiLevelType w:val="multilevel"/>
    <w:tmpl w:val="6390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7FEE14EF"/>
    <w:multiLevelType w:val="multilevel"/>
    <w:tmpl w:val="955C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512498">
    <w:abstractNumId w:val="10"/>
  </w:num>
  <w:num w:numId="2" w16cid:durableId="1496265261">
    <w:abstractNumId w:val="15"/>
  </w:num>
  <w:num w:numId="3" w16cid:durableId="1891458498">
    <w:abstractNumId w:val="8"/>
  </w:num>
  <w:num w:numId="4" w16cid:durableId="1574897952">
    <w:abstractNumId w:val="2"/>
  </w:num>
  <w:num w:numId="5" w16cid:durableId="228805567">
    <w:abstractNumId w:val="11"/>
  </w:num>
  <w:num w:numId="6" w16cid:durableId="1386418416">
    <w:abstractNumId w:val="4"/>
  </w:num>
  <w:num w:numId="7" w16cid:durableId="1512526041">
    <w:abstractNumId w:val="17"/>
  </w:num>
  <w:num w:numId="8" w16cid:durableId="9259617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25DA0"/>
    <w:rsid w:val="00150C00"/>
    <w:rsid w:val="0017110C"/>
    <w:rsid w:val="00242906"/>
    <w:rsid w:val="00311B65"/>
    <w:rsid w:val="003168B7"/>
    <w:rsid w:val="00341050"/>
    <w:rsid w:val="0038119B"/>
    <w:rsid w:val="003955DD"/>
    <w:rsid w:val="003A5479"/>
    <w:rsid w:val="003A6438"/>
    <w:rsid w:val="003C14F7"/>
    <w:rsid w:val="0055445E"/>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F0820"/>
    <w:rsid w:val="00B26B28"/>
    <w:rsid w:val="00BB1041"/>
    <w:rsid w:val="00C101B1"/>
    <w:rsid w:val="00C86BE1"/>
    <w:rsid w:val="00CE7E82"/>
    <w:rsid w:val="00CF0F24"/>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8B4C6"/>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val="1"/>
      <w:spacing w:after="140" w:line="300" w:lineRule="auto"/>
      <w:jc w:val="right"/>
    </w:pPr>
    <w:rPr>
      <w:rFonts w:ascii="Tahoma" w:eastAsia="Tahoma" w:hAnsi="Tahoma" w:cs="Tahoma"/>
      <w:sz w:val="23"/>
      <w:szCs w:val="23"/>
      <w:lang w:bidi="fa-IR"/>
      <w:rtl w:val="1"/>
    </w:rPr>
  </w:style>
  <w:style w:type="paragraph" w:styleId="Heading1">
    <w:name w:val="heading 1"/>
    <w:basedOn w:val="Normal"/>
    <w:next w:val="Normal"/>
    <w:link w:val="Heading1Char"/>
    <w:uiPriority w:val="9"/>
    <w:qFormat/>
    <w:rsid w:val="000C20B8"/>
    <w:pPr>
      <w:keepNext/>
      <w:keepLines/>
      <w:spacing w:before="200" w:after="100"/>
      <w:outlineLvl w:val="0"/>
      <w:bidi w:val="1"/>
      <w:jc w:val="right"/>
    </w:pPr>
    <w:rPr>
      <w:rFonts w:cs="Tahoma" w:ascii="Tahoma" w:hAnsi="Tahoma" w:eastAsia="Tahoma"/>
      <w:b/>
      <w:bCs/>
      <w:color w:val="365F91" w:themeColor="accent1" w:themeShade="BF"/>
      <w:sz w:val="30"/>
      <w:szCs w:val="30"/>
      <w:rtl w:val="1"/>
    </w:rPr>
  </w:style>
  <w:style w:type="paragraph" w:styleId="Heading2">
    <w:name w:val="heading 2"/>
    <w:basedOn w:val="Normal"/>
    <w:next w:val="Normal"/>
    <w:link w:val="Heading2Char"/>
    <w:uiPriority w:val="9"/>
    <w:unhideWhenUsed/>
    <w:qFormat/>
    <w:rsid w:val="000C20B8"/>
    <w:pPr>
      <w:keepNext/>
      <w:keepLines/>
      <w:spacing w:before="140" w:after="100"/>
      <w:outlineLvl w:val="1"/>
      <w:bidi w:val="1"/>
      <w:jc w:val="right"/>
    </w:pPr>
    <w:rPr>
      <w:rFonts w:cs="Tahoma" w:ascii="Tahoma" w:hAnsi="Tahoma" w:eastAsia="Tahoma"/>
      <w:b/>
      <w:bCs/>
      <w:color w:val="4F81BD" w:themeColor="accent1"/>
      <w:sz w:val="27"/>
      <w:szCs w:val="27"/>
      <w:rtl w:val="1"/>
    </w:rPr>
  </w:style>
  <w:style w:type="paragraph" w:styleId="Heading3">
    <w:name w:val="heading 3"/>
    <w:basedOn w:val="Normal"/>
    <w:next w:val="Normal"/>
    <w:link w:val="Heading3Char"/>
    <w:uiPriority w:val="9"/>
    <w:unhideWhenUsed/>
    <w:qFormat/>
    <w:rsid w:val="000C20B8"/>
    <w:pPr>
      <w:keepNext/>
      <w:keepLines/>
      <w:spacing w:before="140" w:after="100"/>
      <w:outlineLvl w:val="2"/>
      <w:bidi w:val="1"/>
      <w:jc w:val="right"/>
    </w:pPr>
    <w:rPr>
      <w:rFonts w:cs="Tahoma" w:ascii="Tahoma" w:hAnsi="Tahoma" w:eastAsia="Tahoma"/>
      <w:b/>
      <w:bCs/>
      <w:color w:val="4F81BD" w:themeColor="accent1"/>
      <w:rtl w:val="1"/>
    </w:rPr>
  </w:style>
  <w:style w:type="paragraph" w:styleId="Heading4">
    <w:name w:val="heading 4"/>
    <w:basedOn w:val="Normal"/>
    <w:next w:val="Normal"/>
    <w:link w:val="Heading4Char"/>
    <w:uiPriority w:val="9"/>
    <w:unhideWhenUsed/>
    <w:qFormat/>
    <w:rsid w:val="00C86BE1"/>
    <w:pPr>
      <w:keepNext/>
      <w:keepLines/>
      <w:spacing w:before="200" w:after="0"/>
      <w:outlineLvl w:val="3"/>
      <w:bidi w:val="1"/>
      <w:jc w:val="right"/>
    </w:pPr>
    <w:rPr>
      <w:rFonts w:cs="Tahoma" w:ascii="Tahoma" w:hAnsi="Tahoma" w:eastAsia="Tahoma"/>
      <w:b/>
      <w:bCs/>
      <w:i/>
      <w:iCs/>
      <w:color w:val="4F81BD" w:themeColor="accent1"/>
      <w:rtl w:val="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bidi w:val="1"/>
    </w:pPr>
    <w:rPr>
      <w:rFonts w:ascii="Tahoma" w:hAnsi="Tahoma" w:eastAsia="Tahoma" w:cs="Tahoma"/>
      <w:color w:val="243F60" w:themeColor="accent1" w:themeShade="7F"/>
      <w:rtl w:val="1"/>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bidi w:val="1"/>
    </w:pPr>
    <w:rPr>
      <w:rFonts w:ascii="Tahoma" w:hAnsi="Tahoma" w:eastAsia="Tahoma" w:cs="Tahoma"/>
      <w:i/>
      <w:iCs/>
      <w:color w:val="243F60" w:themeColor="accent1" w:themeShade="7F"/>
      <w:rtl w:val="1"/>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bidi w:val="1"/>
    </w:pPr>
    <w:rPr>
      <w:rFonts w:ascii="Tahoma" w:hAnsi="Tahoma" w:eastAsia="Tahoma" w:cs="Tahoma"/>
      <w:i/>
      <w:iCs/>
      <w:color w:val="404040" w:themeColor="text1" w:themeTint="BF"/>
      <w:rtl w:val="1"/>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bidi w:val="1"/>
    </w:pPr>
    <w:rPr>
      <w:rFonts w:ascii="Tahoma" w:hAnsi="Tahoma" w:eastAsia="Tahoma" w:cs="Tahoma"/>
      <w:color w:val="4F81BD" w:themeColor="accent1"/>
      <w:sz w:val="20"/>
      <w:szCs w:val="20"/>
      <w:rtl w:val="1"/>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bidi w:val="1"/>
    </w:pPr>
    <w:rPr>
      <w:rFonts w:ascii="Tahoma" w:hAnsi="Tahoma" w:eastAsia="Tahoma" w:cs="Tahoma"/>
      <w:i/>
      <w:iCs/>
      <w:color w:val="404040" w:themeColor="text1" w:themeTint="BF"/>
      <w:sz w:val="20"/>
      <w:szCs w:val="20"/>
      <w:rtl w:val="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bidi w:val="1"/>
    </w:pPr>
    <w:rPr>
      <w:rFonts w:ascii="Tahoma" w:eastAsia="Tahoma" w:hAnsi="Tahoma" w:cs="Tahoma"/>
      <w:sz w:val="28"/>
      <w:szCs w:val="28"/>
      <w:rtl w:val="1"/>
    </w:rPr>
  </w:style>
  <w:style w:type="paragraph" w:styleId="BodyText">
    <w:name w:val="Body Text"/>
    <w:basedOn w:val="Normal"/>
    <w:link w:val="BodyTextChar"/>
    <w:uiPriority w:val="99"/>
    <w:unhideWhenUsed/>
    <w:rsid w:val="00AA1D8D"/>
    <w:pPr>
      <w:bidi w:val="1"/>
      <w:jc w:val="right"/>
    </w:pPr>
    <w:rPr>
      <w:rFonts w:ascii="Tahoma" w:hAnsi="Tahoma" w:eastAsia="Tahoma" w:cs="Tahoma"/>
      <w:rtl w:val="1"/>
    </w:rPr>
  </w:style>
  <w:style w:type="paragraph" w:styleId="List">
    <w:name w:val="List"/>
    <w:basedOn w:val="Normal"/>
    <w:uiPriority w:val="99"/>
    <w:unhideWhenUsed/>
    <w:rsid w:val="00AA1D8D"/>
    <w:pPr>
      <w:spacing w:after="200"/>
      <w:ind w:left="360" w:hanging="360"/>
      <w:contextualSpacing/>
      <w:bidi w:val="1"/>
      <w:jc w:val="right"/>
    </w:pPr>
    <w:rPr>
      <w:rFonts w:ascii="Tahoma" w:hAnsi="Tahoma" w:eastAsia="Tahoma" w:cs="Tahoma"/>
      <w:rtl w:val="1"/>
    </w:rPr>
  </w:style>
  <w:style w:type="paragraph" w:styleId="Caption">
    <w:name w:val="caption"/>
    <w:basedOn w:val="Normal"/>
    <w:next w:val="Normal"/>
    <w:uiPriority w:val="35"/>
    <w:semiHidden/>
    <w:unhideWhenUsed/>
    <w:qFormat/>
    <w:rsid w:val="00FC693F"/>
    <w:pPr>
      <w:spacing w:before="100" w:after="60" w:line="240" w:lineRule="auto"/>
      <w:bidi w:val="1"/>
      <w:jc w:val="right"/>
    </w:pPr>
    <w:rPr>
      <w:rFonts w:ascii="Tahoma" w:hAnsi="Tahoma" w:eastAsia="Tahoma" w:cs="Tahoma"/>
      <w:b/>
      <w:bCs/>
      <w:color w:val="4F81BD" w:themeColor="accent1"/>
      <w:sz w:val="19"/>
      <w:szCs w:val="19"/>
      <w:rtl w:val="1"/>
    </w:rPr>
  </w:style>
  <w:style w:type="paragraph" w:customStyle="1" w:styleId="Index">
    <w:name w:val="Index"/>
    <w:basedOn w:val="Normal"/>
    <w:qFormat/>
    <w:pPr>
      <w:suppressLineNumbers/>
      <w:bidi w:val="1"/>
      <w:jc w:val="right"/>
    </w:pPr>
    <w:rPr>
      <w:rFonts w:cs="Tahoma" w:ascii="Tahoma" w:hAnsi="Tahoma" w:eastAsia="Tahoma"/>
      <w:rtl w:val="1"/>
    </w:rPr>
  </w:style>
  <w:style w:type="paragraph" w:customStyle="1" w:styleId="HeaderandFooter">
    <w:name w:val="Header and Footer"/>
    <w:basedOn w:val="Normal"/>
    <w:qFormat/>
    <w:pPr>
      <w:bidi w:val="1"/>
      <w:jc w:val="right"/>
    </w:pPr>
    <w:rPr>
      <w:rFonts w:ascii="Tahoma" w:hAnsi="Tahoma" w:eastAsia="Tahoma" w:cs="Tahoma"/>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bidi w:val="1"/>
      <w:jc w:val="right"/>
    </w:pPr>
    <w:rPr>
      <w:rFonts w:ascii="Tahoma" w:hAnsi="Tahoma" w:eastAsia="Tahoma" w:cs="Tahoma"/>
      <w:rtl w:val="1"/>
    </w:rPr>
  </w:style>
  <w:style w:type="paragraph" w:styleId="Footer">
    <w:name w:val="footer"/>
    <w:basedOn w:val="Normal"/>
    <w:link w:val="FooterChar"/>
    <w:uiPriority w:val="99"/>
    <w:unhideWhenUsed/>
    <w:rsid w:val="00E618BF"/>
    <w:pPr>
      <w:tabs>
        <w:tab w:val="center" w:pos="4680"/>
        <w:tab w:val="right" w:pos="9360"/>
      </w:tabs>
      <w:spacing w:after="0" w:line="240" w:lineRule="auto"/>
      <w:bidi w:val="1"/>
      <w:jc w:val="right"/>
    </w:pPr>
    <w:rPr>
      <w:rFonts w:ascii="Tahoma" w:hAnsi="Tahoma" w:eastAsia="Tahoma" w:cs="Tahoma"/>
      <w:rtl w:val="1"/>
    </w:rPr>
  </w:style>
  <w:style w:type="paragraph" w:styleId="NoSpacing">
    <w:name w:val="No Spacing"/>
    <w:uiPriority w:val="1"/>
    <w:qFormat/>
    <w:rsid w:val="00FC693F"/>
    <w:pPr>
      <w:bidi w:val="1"/>
      <w:jc w:val="right"/>
    </w:pPr>
    <w:rPr>
      <w:rFonts w:ascii="Tahoma" w:hAnsi="Tahoma" w:eastAsia="Tahoma" w:cs="Tahoma"/>
      <w:rtl w:val="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val="1"/>
      <w:jc w:val="right"/>
    </w:pPr>
    <w:rPr>
      <w:rFonts w:ascii="Tahoma" w:hAnsi="Tahoma" w:eastAsia="Tahoma" w:cs="Tahoma"/>
      <w:color w:val="17365D" w:themeColor="text2" w:themeShade="BF"/>
      <w:spacing w:val="5"/>
      <w:kern w:val="2"/>
      <w:sz w:val="52"/>
      <w:szCs w:val="52"/>
      <w:rtl w:val="1"/>
    </w:rPr>
  </w:style>
  <w:style w:type="paragraph" w:styleId="Subtitle">
    <w:name w:val="Subtitle"/>
    <w:basedOn w:val="Normal"/>
    <w:next w:val="Normal"/>
    <w:link w:val="SubtitleChar"/>
    <w:uiPriority w:val="11"/>
    <w:qFormat/>
    <w:rsid w:val="00FC693F"/>
    <w:pPr>
      <w:bidi w:val="1"/>
      <w:jc w:val="right"/>
    </w:pPr>
    <w:rPr>
      <w:rFonts w:ascii="Tahoma" w:hAnsi="Tahoma" w:eastAsia="Tahoma" w:cs="Tahoma"/>
      <w:i/>
      <w:iCs/>
      <w:color w:val="4F81BD" w:themeColor="accent1"/>
      <w:spacing w:val="15"/>
      <w:sz w:val="24"/>
      <w:szCs w:val="24"/>
      <w:rtl w:val="1"/>
    </w:rPr>
  </w:style>
  <w:style w:type="paragraph" w:styleId="ListParagraph">
    <w:name w:val="List Paragraph"/>
    <w:basedOn w:val="Normal"/>
    <w:uiPriority w:val="34"/>
    <w:qFormat/>
    <w:rsid w:val="00FC693F"/>
    <w:pPr>
      <w:spacing w:after="200"/>
      <w:ind w:left="720"/>
      <w:contextualSpacing/>
      <w:bidi w:val="1"/>
      <w:jc w:val="right"/>
    </w:pPr>
    <w:rPr>
      <w:rFonts w:ascii="Tahoma" w:hAnsi="Tahoma" w:eastAsia="Tahoma" w:cs="Tahoma"/>
      <w:rtl w:val="1"/>
    </w:rPr>
  </w:style>
  <w:style w:type="paragraph" w:styleId="BodyText2">
    <w:name w:val="Body Text 2"/>
    <w:basedOn w:val="Normal"/>
    <w:link w:val="BodyText2Char"/>
    <w:uiPriority w:val="99"/>
    <w:unhideWhenUsed/>
    <w:qFormat/>
    <w:rsid w:val="00AA1D8D"/>
    <w:pPr>
      <w:spacing w:after="120" w:line="480" w:lineRule="auto"/>
      <w:bidi w:val="1"/>
      <w:jc w:val="right"/>
    </w:pPr>
    <w:rPr>
      <w:rFonts w:ascii="Tahoma" w:hAnsi="Tahoma" w:eastAsia="Tahoma" w:cs="Tahoma"/>
      <w:rtl w:val="1"/>
    </w:rPr>
  </w:style>
  <w:style w:type="paragraph" w:styleId="BodyText3">
    <w:name w:val="Body Text 3"/>
    <w:basedOn w:val="Normal"/>
    <w:link w:val="BodyText3Char"/>
    <w:uiPriority w:val="99"/>
    <w:unhideWhenUsed/>
    <w:qFormat/>
    <w:rsid w:val="00AA1D8D"/>
    <w:pPr>
      <w:spacing w:after="120"/>
      <w:bidi w:val="1"/>
      <w:jc w:val="right"/>
    </w:pPr>
    <w:rPr>
      <w:rFonts w:ascii="Tahoma" w:hAnsi="Tahoma" w:eastAsia="Tahoma" w:cs="Tahoma"/>
      <w:sz w:val="16"/>
      <w:szCs w:val="16"/>
      <w:rtl w:val="1"/>
    </w:rPr>
  </w:style>
  <w:style w:type="paragraph" w:styleId="List2">
    <w:name w:val="List 2"/>
    <w:basedOn w:val="Normal"/>
    <w:uiPriority w:val="99"/>
    <w:unhideWhenUsed/>
    <w:qFormat/>
    <w:rsid w:val="00326F90"/>
    <w:pPr>
      <w:spacing w:after="200"/>
      <w:ind w:left="720" w:hanging="360"/>
      <w:contextualSpacing/>
      <w:bidi w:val="1"/>
      <w:jc w:val="right"/>
    </w:pPr>
    <w:rPr>
      <w:rFonts w:ascii="Tahoma" w:hAnsi="Tahoma" w:eastAsia="Tahoma" w:cs="Tahoma"/>
      <w:rtl w:val="1"/>
    </w:rPr>
  </w:style>
  <w:style w:type="paragraph" w:styleId="List3">
    <w:name w:val="List 3"/>
    <w:basedOn w:val="Normal"/>
    <w:uiPriority w:val="99"/>
    <w:unhideWhenUsed/>
    <w:qFormat/>
    <w:rsid w:val="00326F90"/>
    <w:pPr>
      <w:spacing w:after="200"/>
      <w:ind w:left="1080" w:hanging="360"/>
      <w:contextualSpacing/>
      <w:bidi w:val="1"/>
      <w:jc w:val="right"/>
    </w:pPr>
    <w:rPr>
      <w:rFonts w:ascii="Tahoma" w:hAnsi="Tahoma" w:eastAsia="Tahoma" w:cs="Tahoma"/>
      <w:rtl w:val="1"/>
    </w:rPr>
  </w:style>
  <w:style w:type="paragraph" w:styleId="ListBullet">
    <w:name w:val="List Bullet"/>
    <w:basedOn w:val="Normal"/>
    <w:uiPriority w:val="99"/>
    <w:unhideWhenUsed/>
    <w:rsid w:val="00326F90"/>
    <w:pPr>
      <w:numPr>
        <w:numId w:val="1"/>
      </w:numPr>
      <w:spacing w:after="200"/>
      <w:contextualSpacing/>
      <w:bidi w:val="1"/>
      <w:jc w:val="right"/>
    </w:pPr>
    <w:rPr>
      <w:rFonts w:ascii="Tahoma" w:hAnsi="Tahoma" w:eastAsia="Tahoma" w:cs="Tahoma"/>
      <w:rtl w:val="1"/>
    </w:rPr>
  </w:style>
  <w:style w:type="paragraph" w:styleId="ListBullet2">
    <w:name w:val="List Bullet 2"/>
    <w:basedOn w:val="Normal"/>
    <w:uiPriority w:val="99"/>
    <w:unhideWhenUsed/>
    <w:rsid w:val="00326F90"/>
    <w:pPr>
      <w:tabs>
        <w:tab w:val="num" w:pos="360"/>
      </w:tabs>
      <w:spacing w:after="200"/>
      <w:contextualSpacing/>
      <w:bidi w:val="1"/>
      <w:jc w:val="right"/>
    </w:pPr>
    <w:rPr>
      <w:rFonts w:ascii="Tahoma" w:hAnsi="Tahoma" w:eastAsia="Tahoma" w:cs="Tahoma"/>
      <w:rtl w:val="1"/>
    </w:rPr>
  </w:style>
  <w:style w:type="paragraph" w:styleId="ListBullet3">
    <w:name w:val="List Bullet 3"/>
    <w:basedOn w:val="Normal"/>
    <w:uiPriority w:val="99"/>
    <w:unhideWhenUsed/>
    <w:rsid w:val="00326F90"/>
    <w:pPr>
      <w:tabs>
        <w:tab w:val="num" w:pos="360"/>
      </w:tabs>
      <w:spacing w:after="200"/>
      <w:contextualSpacing/>
      <w:bidi w:val="1"/>
      <w:jc w:val="right"/>
    </w:pPr>
    <w:rPr>
      <w:rFonts w:ascii="Tahoma" w:hAnsi="Tahoma" w:eastAsia="Tahoma" w:cs="Tahoma"/>
      <w:rtl w:val="1"/>
    </w:rPr>
  </w:style>
  <w:style w:type="paragraph" w:styleId="ListNumber">
    <w:name w:val="List Number"/>
    <w:basedOn w:val="Normal"/>
    <w:uiPriority w:val="99"/>
    <w:unhideWhenUsed/>
    <w:rsid w:val="00326F90"/>
    <w:pPr>
      <w:tabs>
        <w:tab w:val="num" w:pos="360"/>
      </w:tabs>
      <w:spacing w:after="200"/>
      <w:contextualSpacing/>
      <w:bidi w:val="1"/>
      <w:jc w:val="right"/>
    </w:pPr>
    <w:rPr>
      <w:rFonts w:ascii="Tahoma" w:hAnsi="Tahoma" w:eastAsia="Tahoma" w:cs="Tahoma"/>
      <w:rtl w:val="1"/>
    </w:rPr>
  </w:style>
  <w:style w:type="paragraph" w:styleId="ListNumber2">
    <w:name w:val="List Number 2"/>
    <w:basedOn w:val="Normal"/>
    <w:uiPriority w:val="99"/>
    <w:unhideWhenUsed/>
    <w:rsid w:val="0029639D"/>
    <w:pPr>
      <w:tabs>
        <w:tab w:val="num" w:pos="360"/>
      </w:tabs>
      <w:spacing w:after="200"/>
      <w:contextualSpacing/>
      <w:bidi w:val="1"/>
      <w:jc w:val="right"/>
    </w:pPr>
    <w:rPr>
      <w:rFonts w:ascii="Tahoma" w:hAnsi="Tahoma" w:eastAsia="Tahoma" w:cs="Tahoma"/>
      <w:rtl w:val="1"/>
    </w:rPr>
  </w:style>
  <w:style w:type="paragraph" w:styleId="ListNumber3">
    <w:name w:val="List Number 3"/>
    <w:basedOn w:val="Normal"/>
    <w:uiPriority w:val="99"/>
    <w:unhideWhenUsed/>
    <w:rsid w:val="0029639D"/>
    <w:pPr>
      <w:tabs>
        <w:tab w:val="num" w:pos="360"/>
      </w:tabs>
      <w:spacing w:after="200"/>
      <w:contextualSpacing/>
      <w:bidi w:val="1"/>
      <w:jc w:val="right"/>
    </w:pPr>
    <w:rPr>
      <w:rFonts w:ascii="Tahoma" w:hAnsi="Tahoma" w:eastAsia="Tahoma" w:cs="Tahoma"/>
      <w:rtl w:val="1"/>
    </w:rPr>
  </w:style>
  <w:style w:type="paragraph" w:styleId="ListContinue">
    <w:name w:val="List Continue"/>
    <w:basedOn w:val="Normal"/>
    <w:uiPriority w:val="99"/>
    <w:unhideWhenUsed/>
    <w:rsid w:val="0029639D"/>
    <w:pPr>
      <w:spacing w:after="120"/>
      <w:ind w:left="360"/>
      <w:contextualSpacing/>
      <w:bidi w:val="1"/>
      <w:jc w:val="right"/>
    </w:pPr>
    <w:rPr>
      <w:rFonts w:ascii="Tahoma" w:hAnsi="Tahoma" w:eastAsia="Tahoma" w:cs="Tahoma"/>
      <w:rtl w:val="1"/>
    </w:rPr>
  </w:style>
  <w:style w:type="paragraph" w:styleId="ListContinue2">
    <w:name w:val="List Continue 2"/>
    <w:basedOn w:val="Normal"/>
    <w:uiPriority w:val="99"/>
    <w:unhideWhenUsed/>
    <w:rsid w:val="0029639D"/>
    <w:pPr>
      <w:spacing w:after="120"/>
      <w:ind w:left="720"/>
      <w:contextualSpacing/>
      <w:bidi w:val="1"/>
      <w:jc w:val="right"/>
    </w:pPr>
    <w:rPr>
      <w:rFonts w:ascii="Tahoma" w:hAnsi="Tahoma" w:eastAsia="Tahoma" w:cs="Tahoma"/>
      <w:rtl w:val="1"/>
    </w:rPr>
  </w:style>
  <w:style w:type="paragraph" w:styleId="ListContinue3">
    <w:name w:val="List Continue 3"/>
    <w:basedOn w:val="Normal"/>
    <w:uiPriority w:val="99"/>
    <w:unhideWhenUsed/>
    <w:rsid w:val="0029639D"/>
    <w:pPr>
      <w:spacing w:after="120"/>
      <w:ind w:left="1080"/>
      <w:contextualSpacing/>
      <w:bidi w:val="1"/>
      <w:jc w:val="right"/>
    </w:pPr>
    <w:rPr>
      <w:rFonts w:ascii="Tahoma" w:hAnsi="Tahoma" w:eastAsia="Tahoma" w:cs="Tahoma"/>
      <w:rtl w:val="1"/>
    </w:r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bidi w:val="1"/>
      <w:jc w:val="right"/>
    </w:pPr>
    <w:rPr>
      <w:rFonts w:ascii="Tahoma" w:hAnsi="Tahoma" w:eastAsia="Tahoma" w:cs="Tahoma"/>
      <w:sz w:val="20"/>
      <w:szCs w:val="20"/>
      <w:rtl w:val="1"/>
    </w:rPr>
  </w:style>
  <w:style w:type="paragraph" w:styleId="Quote">
    <w:name w:val="Quote"/>
    <w:basedOn w:val="Normal"/>
    <w:next w:val="Normal"/>
    <w:link w:val="QuoteChar"/>
    <w:uiPriority w:val="29"/>
    <w:qFormat/>
    <w:rsid w:val="00FC693F"/>
    <w:pPr>
      <w:bidi w:val="1"/>
      <w:jc w:val="right"/>
    </w:pPr>
    <w:rPr>
      <w:rFonts w:ascii="Tahoma" w:hAnsi="Tahoma" w:eastAsia="Tahoma" w:cs="Tahoma"/>
      <w:i/>
      <w:iCs/>
      <w:color w:val="000000" w:themeColor="text1"/>
      <w:rtl w:val="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bidi w:val="1"/>
      <w:jc w:val="right"/>
    </w:pPr>
    <w:rPr>
      <w:rFonts w:ascii="Tahoma" w:hAnsi="Tahoma" w:eastAsia="Tahoma" w:cs="Tahoma"/>
      <w:b/>
      <w:bCs/>
      <w:i/>
      <w:iCs/>
      <w:color w:val="4F81BD" w:themeColor="accent1"/>
      <w:rtl w:val="1"/>
    </w:rPr>
  </w:style>
  <w:style w:type="paragraph" w:styleId="IndexHeading">
    <w:name w:val="index heading"/>
    <w:basedOn w:val="Heading"/>
    <w:pPr>
      <w:bidi w:val="1"/>
      <w:jc w:val="right"/>
    </w:pPr>
    <w:rPr>
      <w:rFonts w:ascii="Tahoma" w:hAnsi="Tahoma" w:eastAsia="Tahoma" w:cs="Tahoma"/>
      <w:rtl w:val="1"/>
    </w:rPr>
  </w:style>
  <w:style w:type="paragraph" w:styleId="TOCHeading">
    <w:name w:val="TOC Heading"/>
    <w:basedOn w:val="Heading1"/>
    <w:next w:val="Normal"/>
    <w:uiPriority w:val="39"/>
    <w:semiHidden/>
    <w:unhideWhenUsed/>
    <w:qFormat/>
    <w:rsid w:val="00FC693F"/>
    <w:pPr>
      <w:outlineLvl w:val="9"/>
      <w:bidi w:val="1"/>
      <w:jc w:val="right"/>
    </w:pPr>
    <w:rPr>
      <w:rFonts w:ascii="Tahoma" w:hAnsi="Tahoma" w:eastAsia="Tahoma" w:cs="Tahoma"/>
      <w:rtl w:val="1"/>
    </w:rPr>
  </w:style>
  <w:style w:type="paragraph" w:styleId="TOC1">
    <w:name w:val="toc 1"/>
    <w:basedOn w:val="Normal"/>
    <w:next w:val="Normal"/>
    <w:autoRedefine/>
    <w:uiPriority w:val="39"/>
    <w:unhideWhenUsed/>
    <w:rsid w:val="00AD39BC"/>
    <w:pPr>
      <w:tabs>
        <w:tab w:val="right" w:leader="dot" w:pos="9016"/>
      </w:tabs>
      <w:spacing w:after="100"/>
      <w:bidi w:val="1"/>
      <w:jc w:val="right"/>
    </w:pPr>
    <w:rPr>
      <w:rFonts w:ascii="Tahoma" w:hAnsi="Tahoma" w:eastAsia="Tahoma" w:cs="Tahoma"/>
      <w:rtl w:val="1"/>
    </w:rPr>
  </w:style>
  <w:style w:type="paragraph" w:styleId="TOC2">
    <w:name w:val="toc 2"/>
    <w:basedOn w:val="Normal"/>
    <w:next w:val="Normal"/>
    <w:autoRedefine/>
    <w:uiPriority w:val="39"/>
    <w:unhideWhenUsed/>
    <w:rsid w:val="001766DC"/>
    <w:pPr>
      <w:spacing w:after="100"/>
      <w:ind w:left="220"/>
      <w:bidi w:val="1"/>
      <w:jc w:val="right"/>
    </w:pPr>
    <w:rPr>
      <w:rFonts w:ascii="Tahoma" w:hAnsi="Tahoma" w:eastAsia="Tahoma" w:cs="Tahoma"/>
      <w:rtl w:val="1"/>
    </w:rPr>
  </w:style>
  <w:style w:type="paragraph" w:styleId="TOC3">
    <w:name w:val="toc 3"/>
    <w:basedOn w:val="Normal"/>
    <w:next w:val="Normal"/>
    <w:autoRedefine/>
    <w:uiPriority w:val="39"/>
    <w:unhideWhenUsed/>
    <w:rsid w:val="000C20B8"/>
    <w:pPr>
      <w:tabs>
        <w:tab w:val="right" w:leader="dot" w:pos="9025"/>
      </w:tabs>
      <w:bidi w:val="1"/>
      <w:spacing w:after="100"/>
      <w:ind w:left="440"/>
      <w:jc w:val="right"/>
    </w:pPr>
    <w:rPr>
      <w:rFonts w:ascii="Tahoma" w:hAnsi="Tahoma" w:eastAsia="Tahoma" w:cs="Tahoma"/>
      <w:rtl w:val="1"/>
    </w:rPr>
  </w:style>
  <w:style w:type="paragraph" w:styleId="TOC4">
    <w:name w:val="toc 4"/>
    <w:basedOn w:val="Normal"/>
    <w:next w:val="Normal"/>
    <w:autoRedefine/>
    <w:uiPriority w:val="39"/>
    <w:unhideWhenUsed/>
    <w:rsid w:val="001766DC"/>
    <w:pPr>
      <w:spacing w:after="100" w:line="278" w:lineRule="auto"/>
      <w:ind w:left="720"/>
      <w:bidi w:val="1"/>
      <w:jc w:val="right"/>
    </w:pPr>
    <w:rPr>
      <w:rFonts w:ascii="Tahoma" w:hAnsi="Tahoma" w:eastAsia="Tahoma" w:cs="Tahoma"/>
      <w:kern w:val="2"/>
      <w:sz w:val="24"/>
      <w:szCs w:val="24"/>
      <w14:ligatures w14:val="standardContextual"/>
      <w:rtl w:val="1"/>
    </w:rPr>
  </w:style>
  <w:style w:type="paragraph" w:styleId="TOC5">
    <w:name w:val="toc 5"/>
    <w:basedOn w:val="Normal"/>
    <w:next w:val="Normal"/>
    <w:autoRedefine/>
    <w:uiPriority w:val="39"/>
    <w:unhideWhenUsed/>
    <w:rsid w:val="001766DC"/>
    <w:pPr>
      <w:spacing w:after="100" w:line="278" w:lineRule="auto"/>
      <w:ind w:left="960"/>
      <w:bidi w:val="1"/>
      <w:jc w:val="right"/>
    </w:pPr>
    <w:rPr>
      <w:rFonts w:ascii="Tahoma" w:hAnsi="Tahoma" w:eastAsia="Tahoma" w:cs="Tahoma"/>
      <w:kern w:val="2"/>
      <w:sz w:val="24"/>
      <w:szCs w:val="24"/>
      <w14:ligatures w14:val="standardContextual"/>
      <w:rtl w:val="1"/>
    </w:rPr>
  </w:style>
  <w:style w:type="paragraph" w:styleId="TOC6">
    <w:name w:val="toc 6"/>
    <w:basedOn w:val="Normal"/>
    <w:next w:val="Normal"/>
    <w:autoRedefine/>
    <w:uiPriority w:val="39"/>
    <w:unhideWhenUsed/>
    <w:rsid w:val="001766DC"/>
    <w:pPr>
      <w:spacing w:after="100" w:line="278" w:lineRule="auto"/>
      <w:ind w:left="1200"/>
      <w:bidi w:val="1"/>
      <w:jc w:val="right"/>
    </w:pPr>
    <w:rPr>
      <w:rFonts w:ascii="Tahoma" w:hAnsi="Tahoma" w:eastAsia="Tahoma" w:cs="Tahoma"/>
      <w:kern w:val="2"/>
      <w:sz w:val="24"/>
      <w:szCs w:val="24"/>
      <w14:ligatures w14:val="standardContextual"/>
      <w:rtl w:val="1"/>
    </w:rPr>
  </w:style>
  <w:style w:type="paragraph" w:styleId="TOC7">
    <w:name w:val="toc 7"/>
    <w:basedOn w:val="Normal"/>
    <w:next w:val="Normal"/>
    <w:autoRedefine/>
    <w:uiPriority w:val="39"/>
    <w:unhideWhenUsed/>
    <w:rsid w:val="001766DC"/>
    <w:pPr>
      <w:spacing w:after="100" w:line="278" w:lineRule="auto"/>
      <w:ind w:left="1440"/>
      <w:bidi w:val="1"/>
      <w:jc w:val="right"/>
    </w:pPr>
    <w:rPr>
      <w:rFonts w:ascii="Tahoma" w:hAnsi="Tahoma" w:eastAsia="Tahoma" w:cs="Tahoma"/>
      <w:kern w:val="2"/>
      <w:sz w:val="24"/>
      <w:szCs w:val="24"/>
      <w14:ligatures w14:val="standardContextual"/>
      <w:rtl w:val="1"/>
    </w:rPr>
  </w:style>
  <w:style w:type="paragraph" w:styleId="TOC8">
    <w:name w:val="toc 8"/>
    <w:basedOn w:val="Normal"/>
    <w:next w:val="Normal"/>
    <w:autoRedefine/>
    <w:uiPriority w:val="39"/>
    <w:unhideWhenUsed/>
    <w:rsid w:val="001766DC"/>
    <w:pPr>
      <w:spacing w:after="100" w:line="278" w:lineRule="auto"/>
      <w:ind w:left="1680"/>
      <w:bidi w:val="1"/>
      <w:jc w:val="right"/>
    </w:pPr>
    <w:rPr>
      <w:rFonts w:ascii="Tahoma" w:hAnsi="Tahoma" w:eastAsia="Tahoma" w:cs="Tahoma"/>
      <w:kern w:val="2"/>
      <w:sz w:val="24"/>
      <w:szCs w:val="24"/>
      <w14:ligatures w14:val="standardContextual"/>
      <w:rtl w:val="1"/>
    </w:rPr>
  </w:style>
  <w:style w:type="paragraph" w:styleId="TOC9">
    <w:name w:val="toc 9"/>
    <w:basedOn w:val="Normal"/>
    <w:next w:val="Normal"/>
    <w:autoRedefine/>
    <w:uiPriority w:val="39"/>
    <w:unhideWhenUsed/>
    <w:rsid w:val="001766DC"/>
    <w:pPr>
      <w:spacing w:after="100" w:line="278" w:lineRule="auto"/>
      <w:ind w:left="1920"/>
      <w:bidi w:val="1"/>
      <w:jc w:val="right"/>
    </w:pPr>
    <w:rPr>
      <w:rFonts w:ascii="Tahoma" w:hAnsi="Tahoma" w:eastAsia="Tahoma" w:cs="Tahoma"/>
      <w:kern w:val="2"/>
      <w:sz w:val="24"/>
      <w:szCs w:val="24"/>
      <w14:ligatures w14:val="standardContextual"/>
      <w:rtl w:val="1"/>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right"/>
      <w:bidi w:val="1"/>
    </w:pPr>
    <w:rPr>
      <w:rFonts w:ascii="Tahoma" w:eastAsia="Tahoma" w:hAnsi="Tahoma" w:cs="Tahoma"/>
      <w:b/>
      <w:color w:val="163A5F"/>
      <w:szCs w:val="22"/>
      <w:lang w:bidi="ar-SA"/>
      <w:rtl w:val="1"/>
    </w:rPr>
  </w:style>
  <w:style w:type="paragraph" w:customStyle="1" w:styleId="SakhtNoSource">
    <w:name w:val="SakhtNo Source"/>
    <w:basedOn w:val="Normal"/>
    <w:rsid w:val="00897BBD"/>
    <w:pPr>
      <w:suppressAutoHyphens w:val="0"/>
      <w:spacing w:before="80" w:after="80"/>
      <w:jc w:val="right"/>
      <w:bidi w:val="1"/>
    </w:pPr>
    <w:rPr>
      <w:rFonts w:ascii="Tahoma" w:eastAsia="Tahoma" w:hAnsi="Tahoma" w:cs="Tahoma"/>
      <w:color w:val="5B6470"/>
      <w:sz w:val="16"/>
      <w:szCs w:val="22"/>
      <w:lang w:bidi="ar-SA"/>
      <w:rtl w:val="1"/>
    </w:rPr>
  </w:style>
  <w:style w:type="paragraph" w:customStyle="1" w:styleId="SakhtNoTableText">
    <w:name w:val="SakhtNo Table Text"/>
    <w:basedOn w:val="Normal"/>
    <w:rsid w:val="00897BBD"/>
    <w:pPr>
      <w:suppressAutoHyphens w:val="0"/>
      <w:spacing w:after="40" w:line="269" w:lineRule="auto"/>
      <w:jc w:val="right"/>
      <w:bidi w:val="1"/>
    </w:pPr>
    <w:rPr>
      <w:rFonts w:ascii="Tahoma" w:eastAsia="Tahoma" w:hAnsi="Tahoma" w:cs="Tahoma"/>
      <w:color w:val="111827"/>
      <w:sz w:val="16"/>
      <w:szCs w:val="22"/>
      <w:lang w:bidi="ar-SA"/>
      <w:rtl w:val="1"/>
    </w:rPr>
  </w:style>
  <w:style w:type="paragraph" w:customStyle="1" w:styleId="SakhtNoSmall">
    <w:name w:val="SakhtNo Small"/>
    <w:basedOn w:val="Normal"/>
    <w:rsid w:val="00897BBD"/>
    <w:pPr>
      <w:suppressAutoHyphens w:val="0"/>
      <w:spacing w:after="80"/>
      <w:jc w:val="right"/>
      <w:bidi w:val="1"/>
    </w:pPr>
    <w:rPr>
      <w:rFonts w:ascii="Tahoma" w:eastAsia="Tahoma" w:hAnsi="Tahoma" w:cs="Tahoma"/>
      <w:color w:val="5B6470"/>
      <w:sz w:val="17"/>
      <w:szCs w:val="22"/>
      <w:lang w:bidi="ar-SA"/>
      <w:rtl w:val="1"/>
    </w:rPr>
  </w:style>
  <w:style w:type="table" w:styleId="PlainTable1">
    <w:name w:val="Plain Table 1"/>
    <w:basedOn w:val="TableNormal"/>
    <w:uiPriority w:val="99"/>
    <w:rsid w:val="003168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construction-engineering/aconex/" TargetMode="External"/><Relationship Id="rId13" Type="http://schemas.openxmlformats.org/officeDocument/2006/relationships/hyperlink" Target="https://supplychainfinanceforum.or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help.sap.com/docs/business-network"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2fo.com/wp-content/uploads/2025/11/SBCOP_Finance_Document_final-2.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rimble.com/en/solutions/trimble-construction-one" TargetMode="External"/><Relationship Id="rId5" Type="http://schemas.openxmlformats.org/officeDocument/2006/relationships/webSettings" Target="webSettings.xml"/><Relationship Id="rId15" Type="http://schemas.openxmlformats.org/officeDocument/2006/relationships/hyperlink" Target="https://taulia.com/wp-content/uploads/2025/10/25124-supercharge-SCF-datasheet_v1.pdf" TargetMode="External"/><Relationship Id="rId10" Type="http://schemas.openxmlformats.org/officeDocument/2006/relationships/hyperlink" Target="https://www.procore.com/en-gb/financial-management"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construction.autodesk.com/" TargetMode="External"/><Relationship Id="rId14" Type="http://schemas.openxmlformats.org/officeDocument/2006/relationships/hyperlink" Target="https://iccwbo.org/news-publications/policies-reports/standard-definitions-techniques-supply-chain-financ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1657</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هندبوک مدل عملیاتی ساخت نو نسخه ۲ بازنویسی فصل‌های ۱ و ۲</vt:lpstr>
    </vt:vector>
  </TitlesOfParts>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 بازنویسی فصل‌های ۱ و ۲</dc:title>
  <dc:subject>MC report paragraph maturity and controlled terminology pass</dc:subject>
  <dc:creator>MC Report Development Team</dc:creator>
  <dc:description>Review copy: chapters 1 and 2 deeply rewritten; chapters 3-12 retained from version 1.0.</dc:description>
  <cp:lastModifiedBy>hashem noori</cp:lastModifiedBy>
  <cp:revision>2</cp:revision>
  <cp:lastPrinted>2026-08-25T09:09:00Z</cp:lastPrinted>
  <dcterms:created xsi:type="dcterms:W3CDTF">2026-09-05T07:02:00Z</dcterms:created>
  <dcterms:modified xsi:type="dcterms:W3CDTF">2026-09-05T07:02:00Z</dcterms:modified>
  <dc:language>en-US</dc:language>
</cp:coreProperties>
</file>