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۶</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53FC25C2"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مشخصه</w:t>
            </w:r>
          </w:p>
        </w:tc>
        <w:tc>
          <w:tcPr>
            <w:tcW w:w="7560" w:type="dxa"/>
            <w:shd w:val="clear" w:color="auto" w:fill="173B5F"/>
            <w:tcMar>
              <w:top w:w="90" w:type="dxa"/>
              <w:left w:w="120" w:type="dxa"/>
              <w:bottom w:w="90" w:type="dxa"/>
              <w:right w:w="120" w:type="dxa"/>
              <w:start w:w="90" w:type="dxa"/>
              <w:end w:w="90" w:type="dxa"/>
            </w:tcMar>
            <w:vAlign w:val="center"/>
          </w:tcPr>
          <w:p w14:paraId="0B416855"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14:paraId="74E96C65"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نسخه</w:t>
            </w:r>
          </w:p>
        </w:tc>
        <w:tc>
          <w:tcPr>
            <w:tcW w:w="7560" w:type="dxa"/>
            <w:vAlign w:val="center"/>
            <w:tcMar>
              <w:top w:w="90" w:type="dxa"/>
              <w:start w:w="90" w:type="dxa"/>
              <w:bottom w:w="90" w:type="dxa"/>
              <w:end w:w="90" w:type="dxa"/>
            </w:tcMar>
          </w:tcPr>
          <w:p w14:paraId="39F063F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۱</w:t>
            </w:r>
            <w:r w:rsidRPr="00BC7B7D">
              <w:rPr>
                <w:rFonts w:ascii="Tahoma" w:hAnsi="Tahoma" w:cs="Tahoma" w:hint="cs"/>
                <w:b w:val="0"/>
                <w:sz w:val="17"/>
                <w:szCs w:val="16"/>
                <w:rtl/>
              </w:rPr>
              <w:t>٫</w:t>
            </w:r>
            <w:r w:rsidRPr="00BC7B7D">
              <w:rPr>
                <w:rFonts w:cs="Tahoma" w:hint="cs" w:ascii="Tahoma" w:hAnsi="Tahoma"/>
                <w:b w:val="0"/>
                <w:sz w:val="17"/>
                <w:szCs w:val="16"/>
                <w:rtl/>
              </w:rPr>
              <w:t>۰</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14:paraId="5A30201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وضعیت</w:t>
            </w:r>
          </w:p>
        </w:tc>
        <w:tc>
          <w:tcPr>
            <w:tcW w:w="7560" w:type="dxa"/>
            <w:vAlign w:val="center"/>
            <w:tcMar>
              <w:top w:w="90" w:type="dxa"/>
              <w:start w:w="90" w:type="dxa"/>
              <w:bottom w:w="90" w:type="dxa"/>
              <w:end w:w="90" w:type="dxa"/>
            </w:tcMar>
            <w:shd w:fill="F5F8FA"/>
          </w:tcPr>
          <w:p w14:paraId="034CB5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پیش‌نویس برای طراحی و اعتبارسنجی - نه سند حقوقی/اعتباری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14:paraId="6D04980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تاریخ مبنا</w:t>
            </w:r>
          </w:p>
        </w:tc>
        <w:tc>
          <w:tcPr>
            <w:tcW w:w="7560" w:type="dxa"/>
            <w:vAlign w:val="center"/>
            <w:tcMar>
              <w:top w:w="90" w:type="dxa"/>
              <w:start w:w="90" w:type="dxa"/>
              <w:bottom w:w="90" w:type="dxa"/>
              <w:end w:w="90" w:type="dxa"/>
            </w:tcMar>
          </w:tcPr>
          <w:p w14:paraId="6448C105"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14:paraId="69153DE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دامنه</w:t>
            </w:r>
          </w:p>
        </w:tc>
        <w:tc>
          <w:tcPr>
            <w:tcW w:w="7560" w:type="dxa"/>
            <w:vAlign w:val="center"/>
            <w:tcMar>
              <w:top w:w="90" w:type="dxa"/>
              <w:start w:w="90" w:type="dxa"/>
              <w:bottom w:w="90" w:type="dxa"/>
              <w:end w:w="90" w:type="dxa"/>
            </w:tcMar>
            <w:shd w:fill="F5F8FA"/>
          </w:tcPr>
          <w:p w14:paraId="6EF570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۱۲ فصل عملیاتی + کتابخانه تفصیلی ابزارهای SCF + پیوست‌های کنترل</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14:paraId="14E03F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مخاطبان</w:t>
            </w:r>
          </w:p>
        </w:tc>
        <w:tc>
          <w:tcPr>
            <w:tcW w:w="7560" w:type="dxa"/>
            <w:vAlign w:val="center"/>
            <w:tcMar>
              <w:top w:w="90" w:type="dxa"/>
              <w:start w:w="90" w:type="dxa"/>
              <w:bottom w:w="90" w:type="dxa"/>
              <w:end w:w="90" w:type="dxa"/>
            </w:tcMar>
          </w:tcPr>
          <w:p w14:paraId="79FD620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هیئت راهبری، مدیران پروژه و تأمین، بانک‌ها، ریسک، مالی،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۶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QC،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برای نخستین بار مرز دو خدمت اصلی ساخت نو را صریح کرده‌اند. این دو سند هنوز در وضعیت «پیشنهاد نهایی برای تصویب» قرار دارند؛ بااین‌حال، درخواست حاضر آن‌ها را ورودی حاکم بر بازنویسی فصل‌های ۱ تا ۳ می‌داند. بنابراین قواعد این نسخه برای طراحی عملیاتی معتبرند، اما آستانه‌های تجاری، نرخ‌ها و تعهدات حقوقی تا تصویب مالک کسب‌وکار با برچسب «پیشنهادی» نگهداری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(Two-Track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(Two-Track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مسئولیت مسیر ۱ (Track-1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۳ (Track-2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مسیر ۱ (Track-1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(Track-2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(Two-Track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شبکه کسب‌وکار سپ (مرجع شبکه تجاری)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شبکه کسب‌وکار سپ (مرجع شبکه تجاری)،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مدیریت ساخت پروکور و تریمبل (مرجع عملیات پروژه and مرجع کنترل پروژه Construction)  |  محیط مشترک داده اکونکس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پروکور و تریمبل؛ الگوی سابقه و گردش تأیید از اکونکس؛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محیط مشترک داده اکونکس و اتودسک (مرجع کنترل اسناد and مرجع داده ساخت CDE)  |  شبکه کسب‌وکار سپ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اکونکس و اتودسک؛ الگوی شبکه سفارش، حمل و فاکتور از شبکه کسب‌وکار سپ؛ الگوی اجرای پروژه از پروکور و تریمبل؛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pPr>
    <w:r>
      <w:rPr>
        <w:rFonts w:cs="Arial"/>
        <w:sz w:val="16"/>
        <w:rtl/>
      </w:rPr>
      <w:t xml:space="preserve">کد کوتاه گزارش </w:t>
    </w:r>
    <w:r>
      <w:rPr>
        <w:rFonts w:cs="Arial"/>
        <w:sz w:val="16"/>
      </w:rPr>
      <w:t>PF-RS / MC-RPT-001</w:t>
    </w:r>
    <w:r>
      <w:rPr>
        <w:rFonts w:cs="Arial"/>
        <w:sz w:val="16"/>
        <w:rtl/>
      </w:rPr>
      <w:t xml:space="preserve">   | صفحه </w:t>
    </w:r>
    <w:r>
      <w:rPr>
        <w:rtl/>
      </w:rPr>
      <w:fldChar w:fldCharType="begin"/>
    </w:r>
    <w:r>
      <w:rPr>
        <w:rtl/>
      </w:rPr>
      <w:instrText xml:space="preserve"> PAGE </w:instrText>
    </w:r>
    <w:r>
      <w:rPr>
        <w:rtl/>
      </w:rPr>
      <w:fldChar w:fldCharType="separate"/>
    </w:r>
    <w:r>
      <w:rPr>
        <w:rtl/>
      </w:rPr>
      <w:t>248</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6F37E672"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568CA541"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6D6B2AA6"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0B5964EA"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443C8A4D"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center"/>
            <w:rPr>
              <w:b/>
              <w:bCs/>
            </w:rPr>
          </w:pPr>
          <w:r>
            <w:rPr>
              <w:b/>
              <w:bCs/>
              <w:sz w:val="17"/>
              <w:szCs w:val="17"/>
            </w:rPr>
            <w:t>2</w:t>
          </w:r>
          <w:r w:rsidR="000E399C" w:rsidRPr="000C20B8">
            <w:rPr>
              <w:b/>
              <w:bCs/>
              <w:sz w:val="17"/>
              <w:szCs w:val="17"/>
            </w:rPr>
            <w:t>٫</w:t>
          </w:r>
          <w:r w:rsidR="000E399C">
            <w:rPr>
              <w:b/>
              <w:bCs/>
              <w:sz w:val="17"/>
              <w:szCs w:val="17"/>
            </w:rPr>
            <w:t>00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pPr>
          <w:r>
            <w:rPr>
              <w:sz w:val="17"/>
              <w:szCs w:val="17"/>
              <w:rtl/>
            </w:rPr>
            <w:t>گزارش ارزیابی یکپارچه پروژه و توجیه استقرار مدیریت پیمان</w:t>
          </w:r>
        </w:p>
        <w:p w14:paraId="24C05682" w14:textId="77777777" w:rsidR="00AF0820" w:rsidRDefault="00000000">
          <w:pPr>
            <w:spacing w:after="0"/>
            <w:jc w:val="right"/>
            <w:rPr>
              <w:rFonts w:cs="B Titr"/>
            </w:rPr>
          </w:pPr>
          <w:r>
            <w:rPr>
              <w:rFonts w:hint="eastAsia"/>
              <w:sz w:val="17"/>
              <w:szCs w:val="17"/>
              <w:rtl/>
            </w:rPr>
            <w:t xml:space="preserve">پروژه احداث کارخانه تولید </w:t>
          </w:r>
          <w:proofErr w:type="spellStart"/>
          <w:r>
            <w:rPr>
              <w:rFonts w:hint="eastAsia"/>
              <w:sz w:val="17"/>
              <w:szCs w:val="17"/>
              <w:rtl/>
            </w:rPr>
            <w:t>کاتد</w:t>
          </w:r>
          <w:proofErr w:type="spellEnd"/>
          <w:r>
            <w:rPr>
              <w:rFonts w:hint="eastAsia"/>
              <w:sz w:val="17"/>
              <w:szCs w:val="17"/>
              <w:rtl/>
            </w:rPr>
            <w:t xml:space="preserve"> مجتمع مس </w:t>
          </w:r>
          <w:proofErr w:type="spellStart"/>
          <w:r>
            <w:rPr>
              <w:rFonts w:hint="eastAsia"/>
              <w:sz w:val="17"/>
              <w:szCs w:val="17"/>
              <w:rtl/>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pPr>
          <w:r>
            <w:rPr>
              <w:sz w:val="17"/>
              <w:szCs w:val="17"/>
            </w:rPr>
            <w:t>MC-RPT-001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pPr>
          <w:r>
            <w:rPr>
              <w:sz w:val="17"/>
              <w:szCs w:val="17"/>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pPr>
          <w:r>
            <w:rPr>
              <w:sz w:val="17"/>
              <w:szCs w:val="17"/>
              <w:rtl/>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